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29796" w14:textId="481F9B8F" w:rsidR="00183CE6" w:rsidRDefault="007274EB">
      <w:pPr>
        <w:spacing w:before="66"/>
        <w:ind w:left="111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="00F4740A">
        <w:rPr>
          <w:b/>
          <w:sz w:val="24"/>
          <w:szCs w:val="24"/>
        </w:rPr>
        <w:t xml:space="preserve">WGS. 101      CLASS #13 </w:t>
      </w:r>
      <w:r w:rsidR="00B119C2">
        <w:rPr>
          <w:b/>
          <w:sz w:val="24"/>
          <w:szCs w:val="24"/>
        </w:rPr>
        <w:t xml:space="preserve">       Spring 2023           3/20/23</w:t>
      </w:r>
    </w:p>
    <w:p w14:paraId="532E5552" w14:textId="77777777" w:rsidR="00183CE6" w:rsidRDefault="00F4740A">
      <w:pPr>
        <w:spacing w:line="240" w:lineRule="exact"/>
        <w:ind w:left="798"/>
        <w:rPr>
          <w:sz w:val="24"/>
          <w:szCs w:val="24"/>
        </w:rPr>
      </w:pPr>
      <w:r>
        <w:rPr>
          <w:sz w:val="24"/>
          <w:szCs w:val="24"/>
        </w:rPr>
        <w:t>Reminder: Oral Pres. outlines/articles: due one week before pres.</w:t>
      </w:r>
    </w:p>
    <w:p w14:paraId="338C0022" w14:textId="77777777" w:rsidR="00183CE6" w:rsidRDefault="00183CE6">
      <w:pPr>
        <w:spacing w:before="2" w:line="260" w:lineRule="exact"/>
        <w:rPr>
          <w:sz w:val="26"/>
          <w:szCs w:val="26"/>
        </w:rPr>
      </w:pPr>
    </w:p>
    <w:p w14:paraId="1CEDEDEC" w14:textId="7B74273F" w:rsidR="00183CE6" w:rsidRDefault="00F4740A">
      <w:pPr>
        <w:ind w:left="468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r>
        <w:rPr>
          <w:i/>
          <w:sz w:val="24"/>
          <w:szCs w:val="24"/>
        </w:rPr>
        <w:t xml:space="preserve">Sisters of ‘77: </w:t>
      </w:r>
      <w:r>
        <w:rPr>
          <w:sz w:val="24"/>
          <w:szCs w:val="24"/>
        </w:rPr>
        <w:t>Discussion (HW ques.)</w:t>
      </w:r>
    </w:p>
    <w:p w14:paraId="6ECD3AD7" w14:textId="77777777" w:rsidR="00183CE6" w:rsidRDefault="00183CE6">
      <w:pPr>
        <w:spacing w:before="16" w:line="260" w:lineRule="exact"/>
        <w:rPr>
          <w:sz w:val="26"/>
          <w:szCs w:val="26"/>
        </w:rPr>
      </w:pPr>
    </w:p>
    <w:p w14:paraId="52574E94" w14:textId="77777777" w:rsidR="00183CE6" w:rsidRDefault="00F4740A">
      <w:pPr>
        <w:ind w:left="468"/>
        <w:rPr>
          <w:sz w:val="24"/>
          <w:szCs w:val="24"/>
        </w:rPr>
      </w:pPr>
      <w:r>
        <w:rPr>
          <w:sz w:val="24"/>
          <w:szCs w:val="24"/>
        </w:rPr>
        <w:t>2. The “Second Wave” of Feminism: Multiple Varieties and Perspectives</w:t>
      </w:r>
    </w:p>
    <w:p w14:paraId="7A6E62FF" w14:textId="77777777" w:rsidR="00183CE6" w:rsidRDefault="00F4740A">
      <w:pPr>
        <w:spacing w:line="260" w:lineRule="exact"/>
        <w:ind w:left="768"/>
        <w:rPr>
          <w:sz w:val="24"/>
          <w:szCs w:val="24"/>
        </w:rPr>
      </w:pPr>
      <w:r>
        <w:rPr>
          <w:sz w:val="24"/>
          <w:szCs w:val="24"/>
        </w:rPr>
        <w:t>Legal, Economic and Social/Cultural Reform Agenda</w:t>
      </w:r>
    </w:p>
    <w:p w14:paraId="77D8CBAA" w14:textId="7F9FA8FE" w:rsidR="00183CE6" w:rsidRDefault="00B119C2">
      <w:pPr>
        <w:spacing w:line="260" w:lineRule="exact"/>
        <w:ind w:left="768" w:right="659" w:firstLine="60"/>
        <w:rPr>
          <w:sz w:val="24"/>
          <w:szCs w:val="24"/>
        </w:rPr>
      </w:pPr>
      <w:r>
        <w:rPr>
          <w:sz w:val="24"/>
          <w:szCs w:val="24"/>
        </w:rPr>
        <w:t xml:space="preserve">Generational Differences: </w:t>
      </w:r>
      <w:r w:rsidR="00F4740A">
        <w:rPr>
          <w:sz w:val="24"/>
          <w:szCs w:val="24"/>
        </w:rPr>
        <w:t>Older/NOW feminists and younger, more radical feminists (small, leaderless groups); Differences and Collaborations</w:t>
      </w:r>
    </w:p>
    <w:p w14:paraId="530A42DA" w14:textId="77777777" w:rsidR="00183CE6" w:rsidRDefault="00F4740A">
      <w:pPr>
        <w:spacing w:line="240" w:lineRule="exact"/>
        <w:ind w:left="768"/>
        <w:rPr>
          <w:sz w:val="24"/>
          <w:szCs w:val="24"/>
        </w:rPr>
      </w:pPr>
      <w:r>
        <w:rPr>
          <w:sz w:val="24"/>
          <w:szCs w:val="24"/>
        </w:rPr>
        <w:t>Consciousness Raising as a Feminist Practice; Creating Feminist Culture</w:t>
      </w:r>
    </w:p>
    <w:p w14:paraId="4BB3760B" w14:textId="77777777" w:rsidR="00183CE6" w:rsidRDefault="00F4740A">
      <w:pPr>
        <w:spacing w:line="240" w:lineRule="exact"/>
        <w:ind w:left="828"/>
        <w:rPr>
          <w:sz w:val="24"/>
          <w:szCs w:val="24"/>
        </w:rPr>
      </w:pPr>
      <w:r>
        <w:rPr>
          <w:sz w:val="24"/>
          <w:szCs w:val="24"/>
        </w:rPr>
        <w:t>Multiple Issues and Gateway Issues (e.g., ERA) in post-1966 American feminism</w:t>
      </w:r>
    </w:p>
    <w:p w14:paraId="3EC45D76" w14:textId="77777777" w:rsidR="00183CE6" w:rsidRDefault="00F4740A">
      <w:pPr>
        <w:spacing w:line="240" w:lineRule="exact"/>
        <w:ind w:left="768"/>
        <w:rPr>
          <w:sz w:val="24"/>
          <w:szCs w:val="24"/>
        </w:rPr>
      </w:pPr>
      <w:r>
        <w:rPr>
          <w:sz w:val="24"/>
          <w:szCs w:val="24"/>
        </w:rPr>
        <w:t>Cultural and Political Backlash: Anti-Feminist Mobilization-STOP-ERA</w:t>
      </w:r>
    </w:p>
    <w:p w14:paraId="0E424D10" w14:textId="77777777" w:rsidR="00183CE6" w:rsidRDefault="00F4740A">
      <w:pPr>
        <w:spacing w:before="9" w:line="260" w:lineRule="exact"/>
        <w:ind w:left="828" w:right="1152"/>
        <w:rPr>
          <w:sz w:val="24"/>
          <w:szCs w:val="24"/>
        </w:rPr>
      </w:pPr>
      <w:r>
        <w:rPr>
          <w:sz w:val="24"/>
          <w:szCs w:val="24"/>
        </w:rPr>
        <w:t>Phyllis Schlafly, Eagle Forum, Concerned Women for America (CWA) Since 1980s: From “Highly Visible Mobilization” of 70s to</w:t>
      </w:r>
    </w:p>
    <w:p w14:paraId="20932672" w14:textId="77777777" w:rsidR="00183CE6" w:rsidRDefault="00F4740A" w:rsidP="007274EB">
      <w:pPr>
        <w:spacing w:line="240" w:lineRule="exact"/>
        <w:ind w:left="828"/>
        <w:rPr>
          <w:sz w:val="24"/>
          <w:szCs w:val="24"/>
        </w:rPr>
      </w:pPr>
      <w:r>
        <w:rPr>
          <w:sz w:val="24"/>
          <w:szCs w:val="24"/>
        </w:rPr>
        <w:t>“Unobtrusive Mobilization” of 80s and 90s (Mary Katzenstein) to</w:t>
      </w:r>
      <w:r w:rsidR="007274EB">
        <w:rPr>
          <w:sz w:val="24"/>
          <w:szCs w:val="24"/>
        </w:rPr>
        <w:t xml:space="preserve"> both</w:t>
      </w:r>
      <w:r>
        <w:rPr>
          <w:sz w:val="24"/>
          <w:szCs w:val="24"/>
        </w:rPr>
        <w:t xml:space="preserve"> “Visible and</w:t>
      </w:r>
      <w:r w:rsidR="007274EB">
        <w:rPr>
          <w:sz w:val="24"/>
          <w:szCs w:val="24"/>
        </w:rPr>
        <w:t xml:space="preserve"> Unobtrusive Mobilization” of the Contemporary Era</w:t>
      </w:r>
    </w:p>
    <w:p w14:paraId="7C0196FA" w14:textId="77777777" w:rsidR="00B119C2" w:rsidRDefault="00B119C2" w:rsidP="007274EB">
      <w:pPr>
        <w:spacing w:line="240" w:lineRule="exact"/>
        <w:ind w:left="828"/>
        <w:rPr>
          <w:sz w:val="24"/>
          <w:szCs w:val="24"/>
        </w:rPr>
      </w:pPr>
    </w:p>
    <w:p w14:paraId="6E7C882A" w14:textId="4802E6B7" w:rsidR="00B119C2" w:rsidRPr="00B119C2" w:rsidRDefault="00B119C2" w:rsidP="00B119C2">
      <w:pPr>
        <w:ind w:left="828" w:right="732" w:hanging="360"/>
        <w:rPr>
          <w:sz w:val="24"/>
          <w:szCs w:val="24"/>
        </w:rPr>
      </w:pPr>
      <w:r>
        <w:rPr>
          <w:sz w:val="24"/>
          <w:szCs w:val="24"/>
        </w:rPr>
        <w:t xml:space="preserve">3.   Feminist Alternative Spaces (Bookstores, Clinics, Credit Unions, </w:t>
      </w:r>
      <w:r w:rsidR="00916388">
        <w:rPr>
          <w:sz w:val="24"/>
          <w:szCs w:val="24"/>
        </w:rPr>
        <w:t xml:space="preserve">Cafes, </w:t>
      </w:r>
      <w:r>
        <w:rPr>
          <w:sz w:val="24"/>
          <w:szCs w:val="24"/>
        </w:rPr>
        <w:t xml:space="preserve">Therapy Collectives, Alternate University Spaces, Rape Crisis Centers, </w:t>
      </w:r>
      <w:r w:rsidR="00916388">
        <w:rPr>
          <w:sz w:val="24"/>
          <w:szCs w:val="24"/>
        </w:rPr>
        <w:t xml:space="preserve">Domestic Violence </w:t>
      </w:r>
      <w:r>
        <w:rPr>
          <w:sz w:val="24"/>
          <w:szCs w:val="24"/>
        </w:rPr>
        <w:t xml:space="preserve">Shelters, Feminist Presses and Film Companies) From Margin to Mainstream; e.g., The Boston Women’s Health Book Collective and </w:t>
      </w:r>
      <w:r>
        <w:rPr>
          <w:i/>
          <w:sz w:val="24"/>
          <w:szCs w:val="24"/>
        </w:rPr>
        <w:t>Our Bodies, Our Selves</w:t>
      </w:r>
    </w:p>
    <w:p w14:paraId="281209E8" w14:textId="57AF5752" w:rsidR="00B119C2" w:rsidRDefault="00B119C2" w:rsidP="00B119C2">
      <w:pPr>
        <w:ind w:left="828" w:right="732" w:hanging="360"/>
        <w:rPr>
          <w:sz w:val="24"/>
          <w:szCs w:val="24"/>
        </w:rPr>
      </w:pPr>
      <w:r>
        <w:rPr>
          <w:sz w:val="24"/>
          <w:szCs w:val="24"/>
        </w:rPr>
        <w:t xml:space="preserve">      Lifecycle of Alternative Institutions; Incorporation into Mainstream</w:t>
      </w:r>
    </w:p>
    <w:p w14:paraId="4836AFC4" w14:textId="00CE2CA4" w:rsidR="00183CE6" w:rsidRPr="00B119C2" w:rsidRDefault="00B119C2" w:rsidP="00B119C2">
      <w:pPr>
        <w:ind w:left="828" w:right="732" w:hanging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14:paraId="7501CF90" w14:textId="14E831FC" w:rsidR="00183CE6" w:rsidRDefault="00B119C2">
      <w:pPr>
        <w:ind w:left="468"/>
        <w:rPr>
          <w:sz w:val="24"/>
          <w:szCs w:val="24"/>
        </w:rPr>
      </w:pPr>
      <w:r>
        <w:rPr>
          <w:sz w:val="24"/>
          <w:szCs w:val="24"/>
        </w:rPr>
        <w:t>4</w:t>
      </w:r>
      <w:r w:rsidR="00F4740A">
        <w:rPr>
          <w:sz w:val="24"/>
          <w:szCs w:val="24"/>
        </w:rPr>
        <w:t>.   Multivocal, Multiracial Feminism</w:t>
      </w:r>
      <w:r>
        <w:rPr>
          <w:sz w:val="24"/>
          <w:szCs w:val="24"/>
        </w:rPr>
        <w:t>: Multiple Models: Double/Multiple Jeopardy,</w:t>
      </w:r>
    </w:p>
    <w:p w14:paraId="4C05C876" w14:textId="2AD23F3B" w:rsidR="00B119C2" w:rsidRDefault="00B119C2">
      <w:pPr>
        <w:ind w:left="468"/>
        <w:rPr>
          <w:sz w:val="24"/>
          <w:szCs w:val="24"/>
        </w:rPr>
      </w:pPr>
      <w:r>
        <w:rPr>
          <w:sz w:val="24"/>
          <w:szCs w:val="24"/>
        </w:rPr>
        <w:t xml:space="preserve">       Intersectionality</w:t>
      </w:r>
    </w:p>
    <w:p w14:paraId="3259E840" w14:textId="26776BCC" w:rsidR="00916388" w:rsidRDefault="00916388">
      <w:pPr>
        <w:ind w:left="468"/>
        <w:rPr>
          <w:sz w:val="24"/>
          <w:szCs w:val="24"/>
        </w:rPr>
      </w:pPr>
      <w:r>
        <w:rPr>
          <w:sz w:val="24"/>
          <w:szCs w:val="24"/>
        </w:rPr>
        <w:t xml:space="preserve">       Extending Sojourner Truth’s Challenge to White Feminists</w:t>
      </w:r>
    </w:p>
    <w:p w14:paraId="6184AD97" w14:textId="77777777" w:rsidR="00183CE6" w:rsidRDefault="00F4740A">
      <w:pPr>
        <w:spacing w:before="4" w:line="260" w:lineRule="exact"/>
        <w:ind w:left="828" w:right="966"/>
        <w:rPr>
          <w:sz w:val="24"/>
          <w:szCs w:val="24"/>
        </w:rPr>
      </w:pPr>
      <w:r>
        <w:rPr>
          <w:sz w:val="24"/>
          <w:szCs w:val="24"/>
        </w:rPr>
        <w:t xml:space="preserve">Breaking Silence about Sexual Violence within Family and Racial/Ethnic Cultures: Maxine Hong Kingston, </w:t>
      </w:r>
      <w:r>
        <w:rPr>
          <w:i/>
          <w:sz w:val="24"/>
          <w:szCs w:val="24"/>
        </w:rPr>
        <w:t xml:space="preserve">The Woman Warrior </w:t>
      </w:r>
      <w:r>
        <w:rPr>
          <w:sz w:val="24"/>
          <w:szCs w:val="24"/>
        </w:rPr>
        <w:t xml:space="preserve">(memoir, 1976) Alice Walker, </w:t>
      </w:r>
      <w:r>
        <w:rPr>
          <w:i/>
          <w:sz w:val="24"/>
          <w:szCs w:val="24"/>
        </w:rPr>
        <w:t xml:space="preserve">The Color Purple </w:t>
      </w:r>
      <w:r>
        <w:rPr>
          <w:sz w:val="24"/>
          <w:szCs w:val="24"/>
        </w:rPr>
        <w:t>(novel, 1982, later adapted: film,</w:t>
      </w:r>
      <w:r w:rsidR="007274EB">
        <w:rPr>
          <w:sz w:val="24"/>
          <w:szCs w:val="24"/>
        </w:rPr>
        <w:t xml:space="preserve"> </w:t>
      </w:r>
      <w:r>
        <w:rPr>
          <w:sz w:val="24"/>
          <w:szCs w:val="24"/>
        </w:rPr>
        <w:t>play)</w:t>
      </w:r>
    </w:p>
    <w:p w14:paraId="52B56937" w14:textId="7E03EA94" w:rsidR="00183CE6" w:rsidRPr="00B119C2" w:rsidRDefault="00F4740A" w:rsidP="00B119C2">
      <w:pPr>
        <w:spacing w:before="9" w:line="260" w:lineRule="exact"/>
        <w:ind w:left="768" w:right="2139" w:firstLine="60"/>
        <w:rPr>
          <w:sz w:val="24"/>
          <w:szCs w:val="24"/>
        </w:rPr>
      </w:pPr>
      <w:r>
        <w:rPr>
          <w:sz w:val="24"/>
          <w:szCs w:val="24"/>
        </w:rPr>
        <w:t xml:space="preserve">Critiquing Racism/Identifying Privilege – Peggy McIntosh: </w:t>
      </w:r>
      <w:r w:rsidR="00B119C2">
        <w:rPr>
          <w:sz w:val="24"/>
          <w:szCs w:val="24"/>
        </w:rPr>
        <w:t xml:space="preserve">  </w:t>
      </w:r>
      <w:r>
        <w:rPr>
          <w:sz w:val="24"/>
          <w:szCs w:val="24"/>
        </w:rPr>
        <w:t>Concept of the Backpack of Privilege (by race, gender, sexual orientation)</w:t>
      </w:r>
    </w:p>
    <w:p w14:paraId="4A6A87FE" w14:textId="77777777" w:rsidR="00183CE6" w:rsidRDefault="00183CE6">
      <w:pPr>
        <w:spacing w:before="16" w:line="260" w:lineRule="exact"/>
        <w:rPr>
          <w:sz w:val="26"/>
          <w:szCs w:val="26"/>
        </w:rPr>
      </w:pPr>
    </w:p>
    <w:p w14:paraId="73F003F2" w14:textId="77777777" w:rsidR="00183CE6" w:rsidRDefault="00F4740A">
      <w:pPr>
        <w:ind w:left="828" w:right="585" w:hanging="360"/>
        <w:rPr>
          <w:sz w:val="24"/>
          <w:szCs w:val="24"/>
        </w:rPr>
      </w:pPr>
      <w:r>
        <w:rPr>
          <w:sz w:val="24"/>
          <w:szCs w:val="24"/>
        </w:rPr>
        <w:t>5.   Gateway Questions: The Wage Gap Puzzle: Writing Exercise/Discussion Contributing Factors/Moving Parts: Issues of Law, Institutional/Occupational History, Culture/Socialization</w:t>
      </w:r>
    </w:p>
    <w:p w14:paraId="59D45199" w14:textId="77777777" w:rsidR="00183CE6" w:rsidRDefault="00183CE6">
      <w:pPr>
        <w:spacing w:before="6" w:line="260" w:lineRule="exact"/>
        <w:rPr>
          <w:sz w:val="26"/>
          <w:szCs w:val="26"/>
        </w:rPr>
      </w:pPr>
    </w:p>
    <w:p w14:paraId="414B4FFF" w14:textId="77777777" w:rsidR="00183CE6" w:rsidRDefault="00F4740A">
      <w:pPr>
        <w:ind w:left="468"/>
        <w:rPr>
          <w:sz w:val="24"/>
          <w:szCs w:val="24"/>
        </w:rPr>
      </w:pPr>
      <w:r>
        <w:rPr>
          <w:sz w:val="24"/>
          <w:szCs w:val="24"/>
        </w:rPr>
        <w:t>6.   How does legal change (e.g., anti-gender discrimination laws) influence culture?</w:t>
      </w:r>
    </w:p>
    <w:p w14:paraId="0148B552" w14:textId="77777777" w:rsidR="00183CE6" w:rsidRDefault="00183CE6">
      <w:pPr>
        <w:spacing w:before="12" w:line="280" w:lineRule="exact"/>
        <w:rPr>
          <w:sz w:val="28"/>
          <w:szCs w:val="28"/>
        </w:rPr>
      </w:pPr>
    </w:p>
    <w:p w14:paraId="5D60A96F" w14:textId="77777777" w:rsidR="00183CE6" w:rsidRDefault="00F4740A">
      <w:pPr>
        <w:spacing w:line="260" w:lineRule="exact"/>
        <w:ind w:left="828" w:right="420" w:hanging="360"/>
        <w:rPr>
          <w:sz w:val="24"/>
          <w:szCs w:val="24"/>
        </w:rPr>
      </w:pPr>
      <w:r>
        <w:rPr>
          <w:sz w:val="24"/>
          <w:szCs w:val="24"/>
        </w:rPr>
        <w:t>7.   The Limiting Influence of Stereotypical Gender Socialization: “Doing Gender” (Lorber); Differentiating Sex and Gender</w:t>
      </w:r>
    </w:p>
    <w:p w14:paraId="6050EC54" w14:textId="77777777" w:rsidR="00183CE6" w:rsidRDefault="00183CE6">
      <w:pPr>
        <w:spacing w:before="2" w:line="260" w:lineRule="exact"/>
        <w:rPr>
          <w:sz w:val="26"/>
          <w:szCs w:val="26"/>
        </w:rPr>
      </w:pPr>
    </w:p>
    <w:p w14:paraId="1B873220" w14:textId="77777777" w:rsidR="00183CE6" w:rsidRDefault="00F4740A">
      <w:pPr>
        <w:ind w:left="468"/>
        <w:rPr>
          <w:sz w:val="24"/>
          <w:szCs w:val="24"/>
        </w:rPr>
      </w:pPr>
      <w:r>
        <w:rPr>
          <w:sz w:val="24"/>
          <w:szCs w:val="24"/>
        </w:rPr>
        <w:t>8. Overview: Second Wave Feminist Focus: Perspectives on Socialization and</w:t>
      </w:r>
    </w:p>
    <w:p w14:paraId="2C9AC6C6" w14:textId="77777777" w:rsidR="00183CE6" w:rsidRDefault="00F4740A">
      <w:pPr>
        <w:spacing w:line="260" w:lineRule="exact"/>
        <w:ind w:left="468"/>
        <w:rPr>
          <w:sz w:val="24"/>
          <w:szCs w:val="24"/>
        </w:rPr>
      </w:pPr>
      <w:r>
        <w:rPr>
          <w:sz w:val="24"/>
          <w:szCs w:val="24"/>
        </w:rPr>
        <w:t>Gender Socialization</w:t>
      </w:r>
    </w:p>
    <w:p w14:paraId="48C868E7" w14:textId="77777777" w:rsidR="00183CE6" w:rsidRDefault="00F4740A">
      <w:pPr>
        <w:spacing w:line="240" w:lineRule="exact"/>
        <w:ind w:left="828"/>
        <w:rPr>
          <w:sz w:val="24"/>
          <w:szCs w:val="24"/>
        </w:rPr>
      </w:pPr>
      <w:r>
        <w:rPr>
          <w:sz w:val="24"/>
          <w:szCs w:val="24"/>
        </w:rPr>
        <w:t>Perspectives on Gender Socialization (Lorber): Social Constructionism</w:t>
      </w:r>
      <w:proofErr w:type="gramStart"/>
      <w:r>
        <w:rPr>
          <w:sz w:val="24"/>
          <w:szCs w:val="24"/>
        </w:rPr>
        <w:t>-“</w:t>
      </w:r>
      <w:proofErr w:type="gramEnd"/>
      <w:r>
        <w:rPr>
          <w:sz w:val="24"/>
          <w:szCs w:val="24"/>
        </w:rPr>
        <w:t>the</w:t>
      </w:r>
    </w:p>
    <w:p w14:paraId="4B6D50FD" w14:textId="0F484E11" w:rsidR="007274EB" w:rsidRDefault="00F4740A" w:rsidP="007274EB">
      <w:pPr>
        <w:spacing w:before="4" w:line="260" w:lineRule="exact"/>
        <w:ind w:left="828" w:right="5605"/>
        <w:rPr>
          <w:sz w:val="24"/>
          <w:szCs w:val="24"/>
        </w:rPr>
      </w:pPr>
      <w:r>
        <w:rPr>
          <w:sz w:val="24"/>
          <w:szCs w:val="24"/>
        </w:rPr>
        <w:t>social is the natural</w:t>
      </w:r>
      <w:proofErr w:type="gramStart"/>
      <w:r>
        <w:rPr>
          <w:sz w:val="24"/>
          <w:szCs w:val="24"/>
        </w:rPr>
        <w:t xml:space="preserve">” </w:t>
      </w:r>
      <w:r w:rsidR="007274EB">
        <w:rPr>
          <w:sz w:val="24"/>
          <w:szCs w:val="24"/>
        </w:rPr>
        <w:t>;</w:t>
      </w:r>
      <w:proofErr w:type="gramEnd"/>
      <w:r w:rsidR="007274EB">
        <w:rPr>
          <w:sz w:val="24"/>
          <w:szCs w:val="24"/>
        </w:rPr>
        <w:t xml:space="preserve"> Distribute: Essay #2  (Due </w:t>
      </w:r>
      <w:r w:rsidR="00916388">
        <w:rPr>
          <w:sz w:val="24"/>
          <w:szCs w:val="24"/>
        </w:rPr>
        <w:t>Sun. 4/23)</w:t>
      </w:r>
    </w:p>
    <w:p w14:paraId="3BC8E967" w14:textId="505CEF75" w:rsidR="004B2396" w:rsidRDefault="004B2396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7627D9BC" w14:textId="77777777" w:rsidR="004B2396" w:rsidRPr="0065769D" w:rsidRDefault="004B2396" w:rsidP="004B2396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71D90611" w14:textId="77777777" w:rsidR="004B2396" w:rsidRPr="0065769D" w:rsidRDefault="004B2396" w:rsidP="004B2396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2DCAB549" w14:textId="77777777" w:rsidR="004B2396" w:rsidRPr="0065769D" w:rsidRDefault="004B2396" w:rsidP="004B2396">
      <w:pPr>
        <w:rPr>
          <w:rFonts w:ascii="Arial" w:hAnsi="Arial"/>
        </w:rPr>
      </w:pPr>
    </w:p>
    <w:p w14:paraId="549975C7" w14:textId="77777777" w:rsidR="004B2396" w:rsidRPr="0065769D" w:rsidRDefault="004B2396" w:rsidP="004B2396">
      <w:pPr>
        <w:rPr>
          <w:rFonts w:ascii="Arial" w:hAnsi="Arial"/>
        </w:rPr>
      </w:pPr>
    </w:p>
    <w:p w14:paraId="1E483F58" w14:textId="77777777" w:rsidR="004B2396" w:rsidRPr="0065769D" w:rsidRDefault="004B2396" w:rsidP="004B2396">
      <w:pPr>
        <w:rPr>
          <w:rFonts w:ascii="Arial" w:hAnsi="Arial"/>
        </w:rPr>
      </w:pPr>
    </w:p>
    <w:p w14:paraId="54B2C399" w14:textId="77777777" w:rsidR="004B2396" w:rsidRPr="0065769D" w:rsidRDefault="004B2396" w:rsidP="004B2396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69069A00" w14:textId="77777777" w:rsidR="004B2396" w:rsidRPr="0065769D" w:rsidRDefault="004B2396" w:rsidP="004B2396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3D4ECE89" w14:textId="77777777" w:rsidR="004B2396" w:rsidRPr="0065769D" w:rsidRDefault="004B2396" w:rsidP="004B2396">
      <w:pPr>
        <w:rPr>
          <w:rFonts w:ascii="Arial" w:hAnsi="Arial"/>
        </w:rPr>
      </w:pPr>
    </w:p>
    <w:p w14:paraId="13564420" w14:textId="77777777" w:rsidR="004B2396" w:rsidRPr="0065769D" w:rsidRDefault="004B2396" w:rsidP="004B2396">
      <w:pPr>
        <w:rPr>
          <w:rFonts w:ascii="Arial" w:hAnsi="Arial"/>
        </w:rPr>
      </w:pPr>
    </w:p>
    <w:p w14:paraId="6F8037BE" w14:textId="77777777" w:rsidR="004B2396" w:rsidRPr="0065769D" w:rsidRDefault="004B2396" w:rsidP="004B2396">
      <w:pPr>
        <w:rPr>
          <w:rFonts w:ascii="Arial" w:hAnsi="Arial"/>
        </w:rPr>
      </w:pPr>
    </w:p>
    <w:p w14:paraId="24E7761A" w14:textId="77777777" w:rsidR="004B2396" w:rsidRPr="0065769D" w:rsidRDefault="004B2396" w:rsidP="004B2396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5EAA8382" w14:textId="77777777" w:rsidR="004B2396" w:rsidRPr="003978CD" w:rsidRDefault="004B2396" w:rsidP="004B2396">
      <w:pPr>
        <w:rPr>
          <w:rFonts w:ascii="Arial" w:hAnsi="Arial"/>
          <w:b/>
        </w:rPr>
      </w:pPr>
    </w:p>
    <w:p w14:paraId="185B2CE1" w14:textId="77777777" w:rsidR="00183CE6" w:rsidRDefault="00183CE6">
      <w:pPr>
        <w:spacing w:before="4" w:line="260" w:lineRule="exact"/>
        <w:ind w:left="828" w:right="5605"/>
        <w:rPr>
          <w:sz w:val="24"/>
          <w:szCs w:val="24"/>
        </w:rPr>
      </w:pPr>
    </w:p>
    <w:sectPr w:rsidR="00183C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380" w:right="164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69DC3" w14:textId="77777777" w:rsidR="00D4785A" w:rsidRDefault="00D4785A" w:rsidP="004B2396">
      <w:r>
        <w:separator/>
      </w:r>
    </w:p>
  </w:endnote>
  <w:endnote w:type="continuationSeparator" w:id="0">
    <w:p w14:paraId="656EECBA" w14:textId="77777777" w:rsidR="00D4785A" w:rsidRDefault="00D4785A" w:rsidP="004B2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AFC57" w14:textId="77777777" w:rsidR="004B2396" w:rsidRDefault="004B23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21705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E86D22" w14:textId="6D2003A1" w:rsidR="004B2396" w:rsidRDefault="004B23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89FCFD" w14:textId="77777777" w:rsidR="004B2396" w:rsidRDefault="004B23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AA77E" w14:textId="77777777" w:rsidR="004B2396" w:rsidRDefault="004B23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D0085" w14:textId="77777777" w:rsidR="00D4785A" w:rsidRDefault="00D4785A" w:rsidP="004B2396">
      <w:r>
        <w:separator/>
      </w:r>
    </w:p>
  </w:footnote>
  <w:footnote w:type="continuationSeparator" w:id="0">
    <w:p w14:paraId="3E574595" w14:textId="77777777" w:rsidR="00D4785A" w:rsidRDefault="00D4785A" w:rsidP="004B23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5A785" w14:textId="77777777" w:rsidR="004B2396" w:rsidRDefault="004B23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E6DD1" w14:textId="77777777" w:rsidR="004B2396" w:rsidRDefault="004B23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3F673" w14:textId="77777777" w:rsidR="004B2396" w:rsidRDefault="004B23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FB41DC"/>
    <w:multiLevelType w:val="multilevel"/>
    <w:tmpl w:val="BB287B8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CE6"/>
    <w:rsid w:val="00183CE6"/>
    <w:rsid w:val="001C72B6"/>
    <w:rsid w:val="004B2396"/>
    <w:rsid w:val="007274EB"/>
    <w:rsid w:val="00916388"/>
    <w:rsid w:val="00AE163C"/>
    <w:rsid w:val="00B119C2"/>
    <w:rsid w:val="00D4785A"/>
    <w:rsid w:val="00F4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95190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rsid w:val="004B239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23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2396"/>
  </w:style>
  <w:style w:type="paragraph" w:styleId="Footer">
    <w:name w:val="footer"/>
    <w:basedOn w:val="Normal"/>
    <w:link w:val="FooterChar"/>
    <w:uiPriority w:val="99"/>
    <w:unhideWhenUsed/>
    <w:rsid w:val="004B23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23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389</Words>
  <Characters>2363</Characters>
  <Application>Microsoft Office Word</Application>
  <DocSecurity>0</DocSecurity>
  <Lines>71</Lines>
  <Paragraphs>45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2</cp:revision>
  <cp:lastPrinted>2023-03-20T16:22:00Z</cp:lastPrinted>
  <dcterms:created xsi:type="dcterms:W3CDTF">2024-01-24T20:11:00Z</dcterms:created>
  <dcterms:modified xsi:type="dcterms:W3CDTF">2024-01-24T20:11:00Z</dcterms:modified>
</cp:coreProperties>
</file>