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B1193" w14:textId="5120BF0E" w:rsidR="003C6646" w:rsidRPr="00BE7DEA" w:rsidRDefault="00CE0CC4">
      <w:pPr>
        <w:spacing w:before="72"/>
        <w:ind w:left="228"/>
        <w:rPr>
          <w:b/>
          <w:sz w:val="24"/>
          <w:szCs w:val="24"/>
        </w:rPr>
      </w:pPr>
      <w:r w:rsidRPr="00BE7DEA">
        <w:rPr>
          <w:b/>
          <w:sz w:val="24"/>
          <w:szCs w:val="24"/>
        </w:rPr>
        <w:t xml:space="preserve">WGS. 101 </w:t>
      </w:r>
      <w:r w:rsidR="0044303A">
        <w:rPr>
          <w:b/>
          <w:sz w:val="24"/>
          <w:szCs w:val="24"/>
        </w:rPr>
        <w:t xml:space="preserve">            Spring</w:t>
      </w:r>
      <w:r w:rsidR="007D6DED">
        <w:rPr>
          <w:b/>
          <w:sz w:val="24"/>
          <w:szCs w:val="24"/>
        </w:rPr>
        <w:t xml:space="preserve"> </w:t>
      </w:r>
      <w:r w:rsidR="0044303A">
        <w:rPr>
          <w:b/>
          <w:sz w:val="24"/>
          <w:szCs w:val="24"/>
        </w:rPr>
        <w:t>2023</w:t>
      </w:r>
      <w:r w:rsidR="00E22BC9">
        <w:rPr>
          <w:b/>
          <w:sz w:val="24"/>
          <w:szCs w:val="24"/>
        </w:rPr>
        <w:t xml:space="preserve">  </w:t>
      </w:r>
      <w:r w:rsidR="000C4532">
        <w:rPr>
          <w:b/>
          <w:sz w:val="24"/>
          <w:szCs w:val="24"/>
        </w:rPr>
        <w:t xml:space="preserve">            </w:t>
      </w:r>
      <w:r w:rsidR="002368A5">
        <w:rPr>
          <w:b/>
          <w:sz w:val="24"/>
          <w:szCs w:val="24"/>
        </w:rPr>
        <w:t xml:space="preserve"> </w:t>
      </w:r>
      <w:r w:rsidRPr="00BE7DEA">
        <w:rPr>
          <w:b/>
          <w:sz w:val="24"/>
          <w:szCs w:val="24"/>
        </w:rPr>
        <w:t xml:space="preserve">Lecture #4         </w:t>
      </w:r>
      <w:r w:rsidR="000C4532">
        <w:rPr>
          <w:b/>
          <w:sz w:val="24"/>
          <w:szCs w:val="24"/>
        </w:rPr>
        <w:t xml:space="preserve">    </w:t>
      </w:r>
    </w:p>
    <w:p w14:paraId="428E1CB4" w14:textId="77777777" w:rsidR="00B211D3" w:rsidRPr="00BE7DEA" w:rsidRDefault="00B211D3">
      <w:pPr>
        <w:spacing w:before="16" w:line="260" w:lineRule="exact"/>
        <w:rPr>
          <w:sz w:val="24"/>
          <w:szCs w:val="24"/>
        </w:rPr>
      </w:pPr>
    </w:p>
    <w:p w14:paraId="60F004B3" w14:textId="704E5938" w:rsidR="003C6646" w:rsidRDefault="00CE0CC4" w:rsidP="00B52698">
      <w:pPr>
        <w:spacing w:line="260" w:lineRule="exact"/>
        <w:ind w:left="119" w:right="1934"/>
        <w:rPr>
          <w:sz w:val="24"/>
          <w:szCs w:val="24"/>
        </w:rPr>
      </w:pPr>
      <w:r w:rsidRPr="00BE7DEA">
        <w:rPr>
          <w:w w:val="99"/>
          <w:sz w:val="24"/>
          <w:szCs w:val="24"/>
        </w:rPr>
        <w:t>Reminder:</w:t>
      </w:r>
      <w:r w:rsidRPr="00BE7DEA">
        <w:rPr>
          <w:sz w:val="24"/>
          <w:szCs w:val="24"/>
        </w:rPr>
        <w:t xml:space="preserve"> </w:t>
      </w:r>
      <w:r w:rsidR="00D638DE">
        <w:rPr>
          <w:sz w:val="24"/>
          <w:szCs w:val="24"/>
        </w:rPr>
        <w:t xml:space="preserve">HW </w:t>
      </w:r>
      <w:r w:rsidR="0044303A">
        <w:rPr>
          <w:sz w:val="24"/>
          <w:szCs w:val="24"/>
        </w:rPr>
        <w:t>#4 for Tues. 2/21</w:t>
      </w:r>
      <w:r w:rsidR="00C228B6">
        <w:rPr>
          <w:sz w:val="24"/>
          <w:szCs w:val="24"/>
        </w:rPr>
        <w:t>: o</w:t>
      </w:r>
      <w:r w:rsidR="00BE7DEA">
        <w:rPr>
          <w:sz w:val="24"/>
          <w:szCs w:val="24"/>
        </w:rPr>
        <w:t xml:space="preserve">n Truth and Cooper </w:t>
      </w:r>
      <w:r w:rsidR="0044303A">
        <w:rPr>
          <w:sz w:val="24"/>
          <w:szCs w:val="24"/>
        </w:rPr>
        <w:t>(on Canvas</w:t>
      </w:r>
      <w:r w:rsidR="00AB6923">
        <w:rPr>
          <w:sz w:val="24"/>
          <w:szCs w:val="24"/>
        </w:rPr>
        <w:t>)</w:t>
      </w:r>
      <w:r w:rsidR="006D2BDD">
        <w:rPr>
          <w:sz w:val="24"/>
          <w:szCs w:val="24"/>
        </w:rPr>
        <w:t xml:space="preserve">: watch Joy </w:t>
      </w:r>
      <w:proofErr w:type="spellStart"/>
      <w:r w:rsidR="006D2BDD">
        <w:rPr>
          <w:sz w:val="24"/>
          <w:szCs w:val="24"/>
        </w:rPr>
        <w:t>Buolamwini</w:t>
      </w:r>
      <w:proofErr w:type="spellEnd"/>
      <w:r w:rsidR="006D2BDD">
        <w:rPr>
          <w:sz w:val="24"/>
          <w:szCs w:val="24"/>
        </w:rPr>
        <w:t xml:space="preserve"> video</w:t>
      </w:r>
      <w:r w:rsidR="0044303A">
        <w:rPr>
          <w:sz w:val="24"/>
          <w:szCs w:val="24"/>
        </w:rPr>
        <w:t xml:space="preserve"> </w:t>
      </w:r>
    </w:p>
    <w:p w14:paraId="72F122A9" w14:textId="77777777" w:rsidR="006D2BDD" w:rsidRDefault="006D2BDD" w:rsidP="00B52698">
      <w:pPr>
        <w:spacing w:line="260" w:lineRule="exact"/>
        <w:ind w:left="119" w:right="1934"/>
        <w:rPr>
          <w:sz w:val="24"/>
          <w:szCs w:val="24"/>
        </w:rPr>
      </w:pPr>
    </w:p>
    <w:p w14:paraId="27CBB338" w14:textId="77777777" w:rsidR="004C1A25" w:rsidRDefault="004C1A25" w:rsidP="00E77400">
      <w:pPr>
        <w:pStyle w:val="ListParagraph"/>
        <w:ind w:left="119" w:right="521"/>
        <w:rPr>
          <w:sz w:val="24"/>
          <w:szCs w:val="24"/>
        </w:rPr>
      </w:pPr>
      <w:r>
        <w:rPr>
          <w:sz w:val="24"/>
          <w:szCs w:val="24"/>
        </w:rPr>
        <w:t>1.</w:t>
      </w:r>
      <w:r w:rsidR="006D2BDD" w:rsidRPr="006D2BDD">
        <w:rPr>
          <w:sz w:val="24"/>
          <w:szCs w:val="24"/>
        </w:rPr>
        <w:t>“Our Costume”</w:t>
      </w:r>
      <w:r w:rsidR="003E017D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Stanton, </w:t>
      </w:r>
      <w:r w:rsidR="003E017D">
        <w:rPr>
          <w:sz w:val="24"/>
          <w:szCs w:val="24"/>
        </w:rPr>
        <w:t>1851)</w:t>
      </w:r>
      <w:r w:rsidR="00794F4C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6D2BD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Everyday Justice, </w:t>
      </w:r>
      <w:r w:rsidR="006D2BDD">
        <w:rPr>
          <w:sz w:val="24"/>
          <w:szCs w:val="24"/>
        </w:rPr>
        <w:t>Dress Reform and Women’s Emancipation</w:t>
      </w:r>
      <w:r w:rsidR="003E017D">
        <w:rPr>
          <w:sz w:val="24"/>
          <w:szCs w:val="24"/>
        </w:rPr>
        <w:t>;</w:t>
      </w:r>
      <w:r>
        <w:rPr>
          <w:sz w:val="24"/>
          <w:szCs w:val="24"/>
        </w:rPr>
        <w:t xml:space="preserve"> Backlash and the Retreat from the “Turkish Costume”; Reemergence as “Bicycling Costume” of the 1890s</w:t>
      </w:r>
    </w:p>
    <w:p w14:paraId="4CA72EB4" w14:textId="77777777" w:rsidR="006D2BDD" w:rsidRPr="004C1A25" w:rsidRDefault="006D2BDD" w:rsidP="004C1A25">
      <w:pPr>
        <w:ind w:right="521"/>
        <w:rPr>
          <w:sz w:val="24"/>
          <w:szCs w:val="24"/>
        </w:rPr>
      </w:pPr>
    </w:p>
    <w:p w14:paraId="44B7948B" w14:textId="77777777" w:rsidR="003C6646" w:rsidRPr="004C1A25" w:rsidRDefault="004C1A25" w:rsidP="004C1A25">
      <w:pPr>
        <w:ind w:left="119" w:right="521"/>
        <w:rPr>
          <w:sz w:val="24"/>
          <w:szCs w:val="24"/>
        </w:rPr>
      </w:pPr>
      <w:r>
        <w:rPr>
          <w:sz w:val="24"/>
          <w:szCs w:val="24"/>
        </w:rPr>
        <w:t>2.</w:t>
      </w:r>
      <w:r w:rsidRPr="004C1A25">
        <w:rPr>
          <w:sz w:val="24"/>
          <w:szCs w:val="24"/>
        </w:rPr>
        <w:t xml:space="preserve"> </w:t>
      </w:r>
      <w:r w:rsidR="00CE0CC4" w:rsidRPr="004C1A25">
        <w:rPr>
          <w:sz w:val="24"/>
          <w:szCs w:val="24"/>
        </w:rPr>
        <w:t>“The Solitude of Self”</w:t>
      </w:r>
      <w:r w:rsidR="00F14668" w:rsidRPr="004C1A25">
        <w:rPr>
          <w:sz w:val="24"/>
          <w:szCs w:val="24"/>
        </w:rPr>
        <w:t xml:space="preserve"> </w:t>
      </w:r>
      <w:r w:rsidR="00CE0CC4" w:rsidRPr="004C1A25">
        <w:rPr>
          <w:sz w:val="24"/>
          <w:szCs w:val="24"/>
        </w:rPr>
        <w:t xml:space="preserve">(Stanton, 1892): </w:t>
      </w:r>
      <w:r w:rsidRPr="004C1A25">
        <w:rPr>
          <w:sz w:val="24"/>
          <w:szCs w:val="24"/>
        </w:rPr>
        <w:t xml:space="preserve">An Unusual Retirement Speech; </w:t>
      </w:r>
      <w:r w:rsidR="00CE0CC4" w:rsidRPr="004C1A25">
        <w:rPr>
          <w:sz w:val="24"/>
          <w:szCs w:val="24"/>
        </w:rPr>
        <w:t>Women’s Rights and Individualism: Existential Metaphors of the Struggles of the Female Self; Individualist Arguments For Female Emancipation; Comparisons with “Our Costume”, “Declaration of Sentiments”</w:t>
      </w:r>
      <w:r w:rsidR="006D2BDD" w:rsidRPr="004C1A25">
        <w:rPr>
          <w:sz w:val="24"/>
          <w:szCs w:val="24"/>
        </w:rPr>
        <w:t>-Pairs Discussion</w:t>
      </w:r>
    </w:p>
    <w:p w14:paraId="51CA7A94" w14:textId="77777777" w:rsidR="00BE7DEA" w:rsidRPr="00BE7DEA" w:rsidRDefault="00BE7DEA" w:rsidP="00BE7DEA">
      <w:pPr>
        <w:ind w:right="521"/>
        <w:rPr>
          <w:sz w:val="24"/>
          <w:szCs w:val="24"/>
        </w:rPr>
      </w:pPr>
    </w:p>
    <w:p w14:paraId="5FCD50B0" w14:textId="77777777" w:rsidR="00BE7DEA" w:rsidRPr="00BE7DEA" w:rsidRDefault="00D638DE" w:rsidP="00E77400">
      <w:pPr>
        <w:ind w:right="782"/>
        <w:rPr>
          <w:sz w:val="24"/>
          <w:szCs w:val="24"/>
        </w:rPr>
      </w:pPr>
      <w:r>
        <w:rPr>
          <w:sz w:val="24"/>
          <w:szCs w:val="24"/>
        </w:rPr>
        <w:t xml:space="preserve">   3. Male supporters of women’s rights;</w:t>
      </w:r>
      <w:r w:rsidR="00BE7DEA">
        <w:rPr>
          <w:sz w:val="24"/>
          <w:szCs w:val="24"/>
        </w:rPr>
        <w:t xml:space="preserve"> </w:t>
      </w:r>
      <w:r w:rsidR="00BE7DEA" w:rsidRPr="00BE7DEA">
        <w:rPr>
          <w:sz w:val="24"/>
          <w:szCs w:val="24"/>
        </w:rPr>
        <w:t>Precursors of the U.N. “He for She” Movement: The Role</w:t>
      </w:r>
      <w:r w:rsidR="0056463A">
        <w:rPr>
          <w:sz w:val="24"/>
          <w:szCs w:val="24"/>
        </w:rPr>
        <w:t xml:space="preserve"> and Responsibilities</w:t>
      </w:r>
      <w:r w:rsidR="00BE7DEA" w:rsidRPr="00BE7DEA">
        <w:rPr>
          <w:sz w:val="24"/>
          <w:szCs w:val="24"/>
        </w:rPr>
        <w:t xml:space="preserve"> of Al</w:t>
      </w:r>
      <w:r w:rsidR="00E22BC9">
        <w:rPr>
          <w:sz w:val="24"/>
          <w:szCs w:val="24"/>
        </w:rPr>
        <w:t xml:space="preserve">lies- Male Participants in the </w:t>
      </w:r>
      <w:r w:rsidR="00BE7DEA" w:rsidRPr="00BE7DEA">
        <w:rPr>
          <w:sz w:val="24"/>
          <w:szCs w:val="24"/>
        </w:rPr>
        <w:t>“First Wave” of the Women’s Rights Movement- conscience and beneficiary constituents of social movements</w:t>
      </w:r>
      <w:r w:rsidR="00E16690">
        <w:rPr>
          <w:sz w:val="24"/>
          <w:szCs w:val="24"/>
        </w:rPr>
        <w:t>; “Dec. of Sentiments…” signers</w:t>
      </w:r>
    </w:p>
    <w:p w14:paraId="629D505E" w14:textId="77777777" w:rsidR="00BE7DEA" w:rsidRPr="00BE7DEA" w:rsidRDefault="00BE7DEA" w:rsidP="00BE7DEA">
      <w:pPr>
        <w:spacing w:line="260" w:lineRule="exact"/>
        <w:ind w:left="539"/>
        <w:rPr>
          <w:sz w:val="24"/>
          <w:szCs w:val="24"/>
        </w:rPr>
      </w:pPr>
      <w:r w:rsidRPr="00BE7DEA">
        <w:rPr>
          <w:sz w:val="24"/>
          <w:szCs w:val="24"/>
        </w:rPr>
        <w:t>Men organizing individually and in groups (e.g., men’s leagues for women’s suffrage)</w:t>
      </w:r>
    </w:p>
    <w:p w14:paraId="48211D95" w14:textId="77777777" w:rsidR="00BE7DEA" w:rsidRPr="00BE7DEA" w:rsidRDefault="00BE7DEA" w:rsidP="00BE7DEA">
      <w:pPr>
        <w:spacing w:before="16" w:line="260" w:lineRule="exact"/>
        <w:rPr>
          <w:sz w:val="24"/>
          <w:szCs w:val="24"/>
        </w:rPr>
      </w:pPr>
    </w:p>
    <w:p w14:paraId="3978CB80" w14:textId="77777777" w:rsidR="00BE7DEA" w:rsidRPr="00BE7DEA" w:rsidRDefault="00D638DE" w:rsidP="00E77400">
      <w:pPr>
        <w:rPr>
          <w:sz w:val="24"/>
          <w:szCs w:val="24"/>
        </w:rPr>
      </w:pPr>
      <w:r>
        <w:rPr>
          <w:sz w:val="24"/>
          <w:szCs w:val="24"/>
        </w:rPr>
        <w:t xml:space="preserve">   4</w:t>
      </w:r>
      <w:r w:rsidR="008F7268">
        <w:rPr>
          <w:sz w:val="24"/>
          <w:szCs w:val="24"/>
        </w:rPr>
        <w:t>.</w:t>
      </w:r>
      <w:r w:rsidR="00BE7DEA" w:rsidRPr="00BE7DEA">
        <w:rPr>
          <w:sz w:val="24"/>
          <w:szCs w:val="24"/>
        </w:rPr>
        <w:t xml:space="preserve"> Frederick Douglass, “Why I Became a Women’s Rights Man”: Race, Gender</w:t>
      </w:r>
    </w:p>
    <w:p w14:paraId="6A23B654" w14:textId="77777777" w:rsidR="003C6646" w:rsidRDefault="00BE7DEA" w:rsidP="00BE7DEA">
      <w:pPr>
        <w:spacing w:line="260" w:lineRule="exact"/>
        <w:ind w:left="359"/>
        <w:rPr>
          <w:sz w:val="24"/>
          <w:szCs w:val="24"/>
        </w:rPr>
      </w:pPr>
      <w:r w:rsidRPr="00BE7DEA">
        <w:rPr>
          <w:sz w:val="24"/>
          <w:szCs w:val="24"/>
        </w:rPr>
        <w:t>and Social Justice Themes in an Eclectic Text: Pragmatic vs. prefigurative politics</w:t>
      </w:r>
      <w:r w:rsidR="00CE0CC4">
        <w:rPr>
          <w:sz w:val="24"/>
          <w:szCs w:val="24"/>
        </w:rPr>
        <w:t>;</w:t>
      </w:r>
    </w:p>
    <w:p w14:paraId="7716A3A2" w14:textId="77777777" w:rsidR="00CE0CC4" w:rsidRPr="00BE7DEA" w:rsidRDefault="006D2BDD" w:rsidP="00BE7DEA">
      <w:pPr>
        <w:spacing w:line="260" w:lineRule="exact"/>
        <w:ind w:left="359"/>
        <w:rPr>
          <w:sz w:val="24"/>
          <w:szCs w:val="24"/>
        </w:rPr>
      </w:pPr>
      <w:r>
        <w:rPr>
          <w:sz w:val="24"/>
          <w:szCs w:val="24"/>
        </w:rPr>
        <w:t xml:space="preserve">    Small Group</w:t>
      </w:r>
      <w:r w:rsidR="00E22BC9">
        <w:rPr>
          <w:sz w:val="24"/>
          <w:szCs w:val="24"/>
        </w:rPr>
        <w:t xml:space="preserve"> </w:t>
      </w:r>
      <w:r w:rsidR="00CE0CC4">
        <w:rPr>
          <w:sz w:val="24"/>
          <w:szCs w:val="24"/>
        </w:rPr>
        <w:t>Discussion</w:t>
      </w:r>
    </w:p>
    <w:p w14:paraId="3A906601" w14:textId="77777777" w:rsidR="003C6646" w:rsidRPr="00BE7DEA" w:rsidRDefault="003C6646">
      <w:pPr>
        <w:spacing w:before="2" w:line="280" w:lineRule="exact"/>
        <w:rPr>
          <w:sz w:val="24"/>
          <w:szCs w:val="24"/>
        </w:rPr>
      </w:pPr>
    </w:p>
    <w:p w14:paraId="50A5FA6C" w14:textId="77777777" w:rsidR="003C6646" w:rsidRPr="00BE7DEA" w:rsidRDefault="00D638DE" w:rsidP="00E77400">
      <w:pPr>
        <w:spacing w:line="260" w:lineRule="exact"/>
        <w:ind w:right="308" w:firstLine="180"/>
        <w:rPr>
          <w:sz w:val="24"/>
          <w:szCs w:val="24"/>
        </w:rPr>
      </w:pPr>
      <w:r>
        <w:rPr>
          <w:sz w:val="24"/>
          <w:szCs w:val="24"/>
        </w:rPr>
        <w:t>5</w:t>
      </w:r>
      <w:r w:rsidR="00CE0CC4" w:rsidRPr="00BE7DEA">
        <w:rPr>
          <w:sz w:val="24"/>
          <w:szCs w:val="24"/>
        </w:rPr>
        <w:t>. 1870s: Radical Political Strategies after the Women’s Rights/Abolitionist Split of the late 1860s</w:t>
      </w:r>
      <w:r w:rsidR="00E16690">
        <w:rPr>
          <w:sz w:val="24"/>
          <w:szCs w:val="24"/>
        </w:rPr>
        <w:t>: Everyday Justice and “Gateway” Politics</w:t>
      </w:r>
    </w:p>
    <w:p w14:paraId="0A84D4B5" w14:textId="77777777" w:rsidR="003C6646" w:rsidRPr="00BE7DEA" w:rsidRDefault="00CE0CC4">
      <w:pPr>
        <w:spacing w:line="240" w:lineRule="exact"/>
        <w:ind w:left="239"/>
        <w:rPr>
          <w:sz w:val="24"/>
          <w:szCs w:val="24"/>
        </w:rPr>
      </w:pPr>
      <w:r w:rsidRPr="00BE7DEA">
        <w:rPr>
          <w:sz w:val="24"/>
          <w:szCs w:val="24"/>
        </w:rPr>
        <w:t xml:space="preserve">Civil Disobedience as a Political Practice: Beyond </w:t>
      </w:r>
      <w:r w:rsidR="002368A5">
        <w:rPr>
          <w:sz w:val="24"/>
          <w:szCs w:val="24"/>
        </w:rPr>
        <w:t xml:space="preserve">Women’s Rights </w:t>
      </w:r>
      <w:r w:rsidRPr="00BE7DEA">
        <w:rPr>
          <w:sz w:val="24"/>
          <w:szCs w:val="24"/>
        </w:rPr>
        <w:t>Conventions</w:t>
      </w:r>
    </w:p>
    <w:p w14:paraId="24E0E492" w14:textId="77777777" w:rsidR="003C6646" w:rsidRPr="00E22BC9" w:rsidRDefault="00CE0CC4">
      <w:pPr>
        <w:spacing w:line="260" w:lineRule="exact"/>
        <w:ind w:left="119" w:right="60" w:firstLine="120"/>
        <w:rPr>
          <w:i/>
          <w:sz w:val="24"/>
          <w:szCs w:val="24"/>
        </w:rPr>
      </w:pPr>
      <w:r w:rsidRPr="00BE7DEA">
        <w:rPr>
          <w:sz w:val="24"/>
          <w:szCs w:val="24"/>
        </w:rPr>
        <w:t>Susan B. Anthony and Civil Disobedience Voting as Political Performance:</w:t>
      </w:r>
    </w:p>
    <w:p w14:paraId="62AD6D15" w14:textId="77777777" w:rsidR="003C6646" w:rsidRPr="00BE7DEA" w:rsidRDefault="00E16690" w:rsidP="00E16690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CE0CC4" w:rsidRPr="00BE7DEA">
        <w:rPr>
          <w:sz w:val="24"/>
          <w:szCs w:val="24"/>
        </w:rPr>
        <w:t xml:space="preserve"> Speech: Susan B. Anthony, “Speech After Being Convicted for</w:t>
      </w:r>
    </w:p>
    <w:p w14:paraId="323EB9BD" w14:textId="77777777" w:rsidR="003C6646" w:rsidRPr="00BE7DEA" w:rsidRDefault="00CE0CC4">
      <w:pPr>
        <w:spacing w:line="260" w:lineRule="exact"/>
        <w:ind w:left="119"/>
        <w:rPr>
          <w:sz w:val="24"/>
          <w:szCs w:val="24"/>
        </w:rPr>
      </w:pPr>
      <w:r w:rsidRPr="00BE7DEA">
        <w:rPr>
          <w:sz w:val="24"/>
          <w:szCs w:val="24"/>
        </w:rPr>
        <w:t xml:space="preserve">Voting…”(1873) Supreme Court Case: </w:t>
      </w:r>
      <w:r w:rsidRPr="00E22BC9">
        <w:rPr>
          <w:i/>
          <w:sz w:val="24"/>
          <w:szCs w:val="24"/>
        </w:rPr>
        <w:t>Minor v. Happersett</w:t>
      </w:r>
      <w:r w:rsidRPr="00BE7DEA">
        <w:rPr>
          <w:sz w:val="24"/>
          <w:szCs w:val="24"/>
        </w:rPr>
        <w:t xml:space="preserve"> (1875)</w:t>
      </w:r>
    </w:p>
    <w:p w14:paraId="2B684BD9" w14:textId="77777777" w:rsidR="003C6646" w:rsidRPr="00BE7DEA" w:rsidRDefault="00CE0CC4">
      <w:pPr>
        <w:spacing w:line="260" w:lineRule="exact"/>
        <w:ind w:left="359"/>
        <w:rPr>
          <w:sz w:val="24"/>
          <w:szCs w:val="24"/>
        </w:rPr>
      </w:pPr>
      <w:r w:rsidRPr="00BE7DEA">
        <w:rPr>
          <w:sz w:val="24"/>
          <w:szCs w:val="24"/>
        </w:rPr>
        <w:t>Anthony’s Strategy: Failure or Success? Short-and Long- Term Views of Social</w:t>
      </w:r>
    </w:p>
    <w:p w14:paraId="5B32828C" w14:textId="77777777" w:rsidR="002368A5" w:rsidRPr="00BE7DEA" w:rsidRDefault="00CE0CC4" w:rsidP="005C17D2">
      <w:pPr>
        <w:spacing w:line="260" w:lineRule="exact"/>
        <w:ind w:left="119"/>
        <w:rPr>
          <w:sz w:val="24"/>
          <w:szCs w:val="24"/>
        </w:rPr>
      </w:pPr>
      <w:r w:rsidRPr="00BE7DEA">
        <w:rPr>
          <w:sz w:val="24"/>
          <w:szCs w:val="24"/>
        </w:rPr>
        <w:t>Movements</w:t>
      </w:r>
    </w:p>
    <w:p w14:paraId="3BC70FF9" w14:textId="77777777" w:rsidR="003C6646" w:rsidRDefault="003C6646">
      <w:pPr>
        <w:spacing w:before="11" w:line="260" w:lineRule="exact"/>
        <w:rPr>
          <w:sz w:val="24"/>
          <w:szCs w:val="24"/>
        </w:rPr>
      </w:pPr>
    </w:p>
    <w:p w14:paraId="5EBC9880" w14:textId="77777777" w:rsidR="00D638DE" w:rsidRDefault="00D638DE" w:rsidP="00E77400">
      <w:pPr>
        <w:spacing w:before="11"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6.  The Women’s Rights Movement and Legal Cases: Personification of Female Oppression</w:t>
      </w:r>
    </w:p>
    <w:p w14:paraId="04334690" w14:textId="77777777" w:rsidR="00D638DE" w:rsidRDefault="00D638DE">
      <w:pPr>
        <w:spacing w:before="11"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Case of Hester Vaughn</w:t>
      </w:r>
    </w:p>
    <w:p w14:paraId="3E26B08B" w14:textId="77777777" w:rsidR="00D638DE" w:rsidRDefault="00D638DE">
      <w:pPr>
        <w:spacing w:before="11" w:line="260" w:lineRule="exact"/>
        <w:rPr>
          <w:sz w:val="24"/>
          <w:szCs w:val="24"/>
        </w:rPr>
      </w:pPr>
    </w:p>
    <w:p w14:paraId="6D4FA11B" w14:textId="77777777" w:rsidR="006D2BDD" w:rsidRPr="008F7268" w:rsidRDefault="006D2BDD" w:rsidP="00E77400">
      <w:pPr>
        <w:spacing w:line="260" w:lineRule="exact"/>
        <w:ind w:right="1934"/>
        <w:rPr>
          <w:sz w:val="24"/>
          <w:szCs w:val="24"/>
        </w:rPr>
      </w:pPr>
      <w:r>
        <w:rPr>
          <w:sz w:val="24"/>
          <w:szCs w:val="24"/>
        </w:rPr>
        <w:t xml:space="preserve">   7. Oral Presentation Assignment- Review</w:t>
      </w:r>
    </w:p>
    <w:p w14:paraId="22E47622" w14:textId="08C1B115" w:rsidR="006D2BDD" w:rsidRDefault="006D2BDD" w:rsidP="006D2BDD">
      <w:pPr>
        <w:spacing w:line="260" w:lineRule="exact"/>
        <w:ind w:right="1934"/>
        <w:rPr>
          <w:sz w:val="24"/>
          <w:szCs w:val="24"/>
        </w:rPr>
      </w:pPr>
    </w:p>
    <w:p w14:paraId="09B3304C" w14:textId="3A5099E5" w:rsidR="00E77400" w:rsidRDefault="00E7740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6D06C3A" w14:textId="77777777" w:rsidR="00E77400" w:rsidRPr="0065769D" w:rsidRDefault="00E77400" w:rsidP="00E77400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04D4A306" w14:textId="77777777" w:rsidR="00E77400" w:rsidRPr="0065769D" w:rsidRDefault="00E77400" w:rsidP="00E77400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6C7EC843" w14:textId="77777777" w:rsidR="00E77400" w:rsidRPr="0065769D" w:rsidRDefault="00E77400" w:rsidP="00E77400">
      <w:pPr>
        <w:rPr>
          <w:rFonts w:ascii="Arial" w:hAnsi="Arial"/>
        </w:rPr>
      </w:pPr>
    </w:p>
    <w:p w14:paraId="56D59D30" w14:textId="77777777" w:rsidR="00E77400" w:rsidRPr="0065769D" w:rsidRDefault="00E77400" w:rsidP="00E77400">
      <w:pPr>
        <w:rPr>
          <w:rFonts w:ascii="Arial" w:hAnsi="Arial"/>
        </w:rPr>
      </w:pPr>
    </w:p>
    <w:p w14:paraId="5BFC152D" w14:textId="77777777" w:rsidR="00E77400" w:rsidRPr="0065769D" w:rsidRDefault="00E77400" w:rsidP="00E77400">
      <w:pPr>
        <w:rPr>
          <w:rFonts w:ascii="Arial" w:hAnsi="Arial"/>
        </w:rPr>
      </w:pPr>
    </w:p>
    <w:p w14:paraId="70C537E9" w14:textId="77777777" w:rsidR="00E77400" w:rsidRPr="0065769D" w:rsidRDefault="00E77400" w:rsidP="00E77400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58FEDA4F" w14:textId="77777777" w:rsidR="00E77400" w:rsidRPr="0065769D" w:rsidRDefault="00E77400" w:rsidP="00E77400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4409DB7F" w14:textId="77777777" w:rsidR="00E77400" w:rsidRPr="0065769D" w:rsidRDefault="00E77400" w:rsidP="00E77400">
      <w:pPr>
        <w:rPr>
          <w:rFonts w:ascii="Arial" w:hAnsi="Arial"/>
        </w:rPr>
      </w:pPr>
    </w:p>
    <w:p w14:paraId="493665F6" w14:textId="77777777" w:rsidR="00E77400" w:rsidRPr="0065769D" w:rsidRDefault="00E77400" w:rsidP="00E77400">
      <w:pPr>
        <w:rPr>
          <w:rFonts w:ascii="Arial" w:hAnsi="Arial"/>
        </w:rPr>
      </w:pPr>
    </w:p>
    <w:p w14:paraId="46F26B81" w14:textId="77777777" w:rsidR="00E77400" w:rsidRPr="0065769D" w:rsidRDefault="00E77400" w:rsidP="00E77400">
      <w:pPr>
        <w:rPr>
          <w:rFonts w:ascii="Arial" w:hAnsi="Arial"/>
        </w:rPr>
      </w:pPr>
    </w:p>
    <w:p w14:paraId="5D13053C" w14:textId="77777777" w:rsidR="00E77400" w:rsidRPr="0065769D" w:rsidRDefault="00E77400" w:rsidP="00E77400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3DBCB2AD" w14:textId="77777777" w:rsidR="00E77400" w:rsidRPr="003978CD" w:rsidRDefault="00E77400" w:rsidP="00E77400">
      <w:pPr>
        <w:rPr>
          <w:rFonts w:ascii="Arial" w:hAnsi="Arial"/>
          <w:b/>
        </w:rPr>
      </w:pPr>
    </w:p>
    <w:p w14:paraId="412CA834" w14:textId="77777777" w:rsidR="00E77400" w:rsidRPr="00BE7DEA" w:rsidRDefault="00E77400" w:rsidP="006D2BDD">
      <w:pPr>
        <w:spacing w:line="260" w:lineRule="exact"/>
        <w:ind w:right="1934"/>
        <w:rPr>
          <w:sz w:val="24"/>
          <w:szCs w:val="24"/>
        </w:rPr>
      </w:pPr>
    </w:p>
    <w:p w14:paraId="3194AA6E" w14:textId="77777777" w:rsidR="00D638DE" w:rsidRPr="00BE7DEA" w:rsidRDefault="00D638DE">
      <w:pPr>
        <w:spacing w:before="11" w:line="260" w:lineRule="exact"/>
        <w:rPr>
          <w:sz w:val="24"/>
          <w:szCs w:val="24"/>
        </w:rPr>
      </w:pPr>
    </w:p>
    <w:sectPr w:rsidR="00D638DE" w:rsidRPr="00BE7DEA">
      <w:footerReference w:type="default" r:id="rId9"/>
      <w:type w:val="continuous"/>
      <w:pgSz w:w="12240" w:h="15840"/>
      <w:pgMar w:top="1360" w:right="16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5BB01" w14:textId="77777777" w:rsidR="00DE0ED7" w:rsidRDefault="00DE0ED7" w:rsidP="00E77400">
      <w:r>
        <w:separator/>
      </w:r>
    </w:p>
  </w:endnote>
  <w:endnote w:type="continuationSeparator" w:id="0">
    <w:p w14:paraId="1EDD23C2" w14:textId="77777777" w:rsidR="00DE0ED7" w:rsidRDefault="00DE0ED7" w:rsidP="00E77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6558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D162AD" w14:textId="4B6EEE82" w:rsidR="00E77400" w:rsidRDefault="00E774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A738AB" w14:textId="77777777" w:rsidR="00E77400" w:rsidRDefault="00E774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A4327" w14:textId="77777777" w:rsidR="00DE0ED7" w:rsidRDefault="00DE0ED7" w:rsidP="00E77400">
      <w:r>
        <w:separator/>
      </w:r>
    </w:p>
  </w:footnote>
  <w:footnote w:type="continuationSeparator" w:id="0">
    <w:p w14:paraId="75E33394" w14:textId="77777777" w:rsidR="00DE0ED7" w:rsidRDefault="00DE0ED7" w:rsidP="00E77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1682F"/>
    <w:multiLevelType w:val="hybridMultilevel"/>
    <w:tmpl w:val="19BEE270"/>
    <w:lvl w:ilvl="0" w:tplc="B038F4B2">
      <w:start w:val="1"/>
      <w:numFmt w:val="decimal"/>
      <w:lvlText w:val="%1."/>
      <w:lvlJc w:val="left"/>
      <w:pPr>
        <w:ind w:left="4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9" w:hanging="360"/>
      </w:pPr>
    </w:lvl>
    <w:lvl w:ilvl="2" w:tplc="0409001B" w:tentative="1">
      <w:start w:val="1"/>
      <w:numFmt w:val="lowerRoman"/>
      <w:lvlText w:val="%3."/>
      <w:lvlJc w:val="right"/>
      <w:pPr>
        <w:ind w:left="1919" w:hanging="180"/>
      </w:pPr>
    </w:lvl>
    <w:lvl w:ilvl="3" w:tplc="0409000F" w:tentative="1">
      <w:start w:val="1"/>
      <w:numFmt w:val="decimal"/>
      <w:lvlText w:val="%4."/>
      <w:lvlJc w:val="left"/>
      <w:pPr>
        <w:ind w:left="2639" w:hanging="360"/>
      </w:pPr>
    </w:lvl>
    <w:lvl w:ilvl="4" w:tplc="04090019" w:tentative="1">
      <w:start w:val="1"/>
      <w:numFmt w:val="lowerLetter"/>
      <w:lvlText w:val="%5."/>
      <w:lvlJc w:val="left"/>
      <w:pPr>
        <w:ind w:left="3359" w:hanging="360"/>
      </w:pPr>
    </w:lvl>
    <w:lvl w:ilvl="5" w:tplc="0409001B" w:tentative="1">
      <w:start w:val="1"/>
      <w:numFmt w:val="lowerRoman"/>
      <w:lvlText w:val="%6."/>
      <w:lvlJc w:val="right"/>
      <w:pPr>
        <w:ind w:left="4079" w:hanging="180"/>
      </w:pPr>
    </w:lvl>
    <w:lvl w:ilvl="6" w:tplc="0409000F" w:tentative="1">
      <w:start w:val="1"/>
      <w:numFmt w:val="decimal"/>
      <w:lvlText w:val="%7."/>
      <w:lvlJc w:val="left"/>
      <w:pPr>
        <w:ind w:left="4799" w:hanging="360"/>
      </w:pPr>
    </w:lvl>
    <w:lvl w:ilvl="7" w:tplc="04090019" w:tentative="1">
      <w:start w:val="1"/>
      <w:numFmt w:val="lowerLetter"/>
      <w:lvlText w:val="%8."/>
      <w:lvlJc w:val="left"/>
      <w:pPr>
        <w:ind w:left="5519" w:hanging="360"/>
      </w:pPr>
    </w:lvl>
    <w:lvl w:ilvl="8" w:tplc="040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1" w15:restartNumberingAfterBreak="0">
    <w:nsid w:val="15D668D4"/>
    <w:multiLevelType w:val="hybridMultilevel"/>
    <w:tmpl w:val="5F3267F0"/>
    <w:lvl w:ilvl="0" w:tplc="F9220F68">
      <w:start w:val="1"/>
      <w:numFmt w:val="decimal"/>
      <w:lvlText w:val="%1."/>
      <w:lvlJc w:val="left"/>
      <w:pPr>
        <w:ind w:left="8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9" w:hanging="360"/>
      </w:pPr>
    </w:lvl>
    <w:lvl w:ilvl="2" w:tplc="0409001B" w:tentative="1">
      <w:start w:val="1"/>
      <w:numFmt w:val="lowerRoman"/>
      <w:lvlText w:val="%3."/>
      <w:lvlJc w:val="right"/>
      <w:pPr>
        <w:ind w:left="2299" w:hanging="180"/>
      </w:pPr>
    </w:lvl>
    <w:lvl w:ilvl="3" w:tplc="0409000F" w:tentative="1">
      <w:start w:val="1"/>
      <w:numFmt w:val="decimal"/>
      <w:lvlText w:val="%4."/>
      <w:lvlJc w:val="left"/>
      <w:pPr>
        <w:ind w:left="3019" w:hanging="360"/>
      </w:pPr>
    </w:lvl>
    <w:lvl w:ilvl="4" w:tplc="04090019" w:tentative="1">
      <w:start w:val="1"/>
      <w:numFmt w:val="lowerLetter"/>
      <w:lvlText w:val="%5."/>
      <w:lvlJc w:val="left"/>
      <w:pPr>
        <w:ind w:left="3739" w:hanging="360"/>
      </w:pPr>
    </w:lvl>
    <w:lvl w:ilvl="5" w:tplc="0409001B" w:tentative="1">
      <w:start w:val="1"/>
      <w:numFmt w:val="lowerRoman"/>
      <w:lvlText w:val="%6."/>
      <w:lvlJc w:val="right"/>
      <w:pPr>
        <w:ind w:left="4459" w:hanging="180"/>
      </w:pPr>
    </w:lvl>
    <w:lvl w:ilvl="6" w:tplc="0409000F" w:tentative="1">
      <w:start w:val="1"/>
      <w:numFmt w:val="decimal"/>
      <w:lvlText w:val="%7."/>
      <w:lvlJc w:val="left"/>
      <w:pPr>
        <w:ind w:left="5179" w:hanging="360"/>
      </w:pPr>
    </w:lvl>
    <w:lvl w:ilvl="7" w:tplc="04090019" w:tentative="1">
      <w:start w:val="1"/>
      <w:numFmt w:val="lowerLetter"/>
      <w:lvlText w:val="%8."/>
      <w:lvlJc w:val="left"/>
      <w:pPr>
        <w:ind w:left="5899" w:hanging="360"/>
      </w:pPr>
    </w:lvl>
    <w:lvl w:ilvl="8" w:tplc="040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2" w15:restartNumberingAfterBreak="0">
    <w:nsid w:val="16AA2CA3"/>
    <w:multiLevelType w:val="multilevel"/>
    <w:tmpl w:val="39B082B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C6646"/>
    <w:rsid w:val="000C4532"/>
    <w:rsid w:val="00183755"/>
    <w:rsid w:val="002368A5"/>
    <w:rsid w:val="00336851"/>
    <w:rsid w:val="003A5759"/>
    <w:rsid w:val="003C6646"/>
    <w:rsid w:val="003E017D"/>
    <w:rsid w:val="0044303A"/>
    <w:rsid w:val="004C1A25"/>
    <w:rsid w:val="0056463A"/>
    <w:rsid w:val="005A2E20"/>
    <w:rsid w:val="005C17D2"/>
    <w:rsid w:val="006D2BDD"/>
    <w:rsid w:val="00722970"/>
    <w:rsid w:val="00794F4C"/>
    <w:rsid w:val="007D6DED"/>
    <w:rsid w:val="00845EA6"/>
    <w:rsid w:val="008F7268"/>
    <w:rsid w:val="00AB6923"/>
    <w:rsid w:val="00B211D3"/>
    <w:rsid w:val="00B52698"/>
    <w:rsid w:val="00BE7DEA"/>
    <w:rsid w:val="00C228B6"/>
    <w:rsid w:val="00CE0CC4"/>
    <w:rsid w:val="00D638DE"/>
    <w:rsid w:val="00DE0ED7"/>
    <w:rsid w:val="00E16690"/>
    <w:rsid w:val="00E211AF"/>
    <w:rsid w:val="00E22BC9"/>
    <w:rsid w:val="00E26F62"/>
    <w:rsid w:val="00E77400"/>
    <w:rsid w:val="00F1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4EB774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BE7DEA"/>
    <w:pPr>
      <w:ind w:left="720"/>
      <w:contextualSpacing/>
    </w:pPr>
  </w:style>
  <w:style w:type="character" w:styleId="Hyperlink">
    <w:name w:val="Hyperlink"/>
    <w:rsid w:val="00E7740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74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400"/>
  </w:style>
  <w:style w:type="paragraph" w:styleId="Footer">
    <w:name w:val="footer"/>
    <w:basedOn w:val="Normal"/>
    <w:link w:val="FooterChar"/>
    <w:uiPriority w:val="99"/>
    <w:unhideWhenUsed/>
    <w:rsid w:val="00E774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350</Words>
  <Characters>1831</Characters>
  <Application>Microsoft Office Word</Application>
  <DocSecurity>0</DocSecurity>
  <Lines>52</Lines>
  <Paragraphs>20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Cheryl Siegel</cp:lastModifiedBy>
  <cp:revision>3</cp:revision>
  <cp:lastPrinted>2023-02-15T16:05:00Z</cp:lastPrinted>
  <dcterms:created xsi:type="dcterms:W3CDTF">2023-02-15T16:10:00Z</dcterms:created>
  <dcterms:modified xsi:type="dcterms:W3CDTF">2023-10-25T19:00:00Z</dcterms:modified>
</cp:coreProperties>
</file>