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C2648" w14:textId="14B449C2" w:rsidR="00825CE2" w:rsidRDefault="006C5721">
      <w:pPr>
        <w:spacing w:before="76"/>
        <w:ind w:left="109"/>
        <w:rPr>
          <w:sz w:val="24"/>
          <w:szCs w:val="24"/>
        </w:rPr>
      </w:pPr>
      <w:r>
        <w:rPr>
          <w:b/>
          <w:sz w:val="24"/>
          <w:szCs w:val="24"/>
        </w:rPr>
        <w:t>WG</w:t>
      </w:r>
      <w:r>
        <w:rPr>
          <w:b/>
          <w:spacing w:val="-2"/>
          <w:sz w:val="24"/>
          <w:szCs w:val="24"/>
        </w:rPr>
        <w:t>S</w:t>
      </w:r>
      <w:r>
        <w:rPr>
          <w:b/>
          <w:sz w:val="24"/>
          <w:szCs w:val="24"/>
        </w:rPr>
        <w:t>. 101</w:t>
      </w:r>
      <w:r w:rsidR="009C619F">
        <w:rPr>
          <w:b/>
          <w:sz w:val="24"/>
          <w:szCs w:val="24"/>
        </w:rPr>
        <w:t xml:space="preserve">                 </w:t>
      </w:r>
      <w:r w:rsidR="001F060F">
        <w:rPr>
          <w:b/>
          <w:sz w:val="24"/>
          <w:szCs w:val="24"/>
        </w:rPr>
        <w:t xml:space="preserve"> </w:t>
      </w:r>
      <w:r w:rsidR="007D699D">
        <w:rPr>
          <w:b/>
          <w:sz w:val="24"/>
          <w:szCs w:val="24"/>
        </w:rPr>
        <w:t>Spring 2023</w:t>
      </w:r>
      <w:r w:rsidR="007C3600">
        <w:rPr>
          <w:b/>
          <w:sz w:val="24"/>
          <w:szCs w:val="24"/>
        </w:rPr>
        <w:t xml:space="preserve">           Class #8</w:t>
      </w:r>
      <w:r w:rsidR="00841359">
        <w:rPr>
          <w:b/>
          <w:sz w:val="24"/>
          <w:szCs w:val="24"/>
        </w:rPr>
        <w:t xml:space="preserve">         </w:t>
      </w:r>
      <w:r w:rsidR="00B949D0">
        <w:rPr>
          <w:b/>
          <w:sz w:val="24"/>
          <w:szCs w:val="24"/>
        </w:rPr>
        <w:t xml:space="preserve">        </w:t>
      </w:r>
    </w:p>
    <w:p w14:paraId="6A09A710" w14:textId="637E56B7" w:rsidR="001221D1" w:rsidRDefault="000F2144">
      <w:pPr>
        <w:spacing w:line="260" w:lineRule="exact"/>
        <w:ind w:left="10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Due: </w:t>
      </w:r>
      <w:r w:rsidR="007D699D">
        <w:rPr>
          <w:b/>
          <w:sz w:val="24"/>
          <w:szCs w:val="24"/>
        </w:rPr>
        <w:t>Today</w:t>
      </w:r>
      <w:r w:rsidR="001221D1">
        <w:rPr>
          <w:b/>
          <w:sz w:val="24"/>
          <w:szCs w:val="24"/>
        </w:rPr>
        <w:t xml:space="preserve">– </w:t>
      </w:r>
      <w:r w:rsidR="000C52FD">
        <w:rPr>
          <w:b/>
          <w:sz w:val="24"/>
          <w:szCs w:val="24"/>
        </w:rPr>
        <w:t>Oral Presentation Preferences (two dates/two</w:t>
      </w:r>
      <w:r w:rsidR="001221D1">
        <w:rPr>
          <w:b/>
          <w:sz w:val="24"/>
          <w:szCs w:val="24"/>
        </w:rPr>
        <w:t xml:space="preserve"> topic areas) </w:t>
      </w:r>
      <w:r w:rsidR="007D699D">
        <w:rPr>
          <w:b/>
          <w:sz w:val="24"/>
          <w:szCs w:val="24"/>
        </w:rPr>
        <w:t xml:space="preserve">due over email </w:t>
      </w:r>
      <w:r w:rsidR="001221D1">
        <w:rPr>
          <w:b/>
          <w:sz w:val="24"/>
          <w:szCs w:val="24"/>
        </w:rPr>
        <w:t>by end of day.</w:t>
      </w:r>
      <w:r>
        <w:rPr>
          <w:b/>
          <w:sz w:val="24"/>
          <w:szCs w:val="24"/>
        </w:rPr>
        <w:t xml:space="preserve"> No HW assignment for next class.</w:t>
      </w:r>
    </w:p>
    <w:p w14:paraId="073A07B8" w14:textId="77777777" w:rsidR="00537898" w:rsidRDefault="00537898">
      <w:pPr>
        <w:spacing w:line="260" w:lineRule="exact"/>
        <w:ind w:left="109"/>
        <w:rPr>
          <w:b/>
          <w:sz w:val="24"/>
          <w:szCs w:val="24"/>
        </w:rPr>
      </w:pPr>
    </w:p>
    <w:p w14:paraId="77D0DE1C" w14:textId="7844ECB6" w:rsidR="00B949D0" w:rsidRPr="00B949D0" w:rsidRDefault="00B949D0" w:rsidP="00B949D0">
      <w:pPr>
        <w:ind w:left="593"/>
        <w:rPr>
          <w:i/>
          <w:sz w:val="24"/>
          <w:szCs w:val="24"/>
        </w:rPr>
      </w:pPr>
      <w:r>
        <w:rPr>
          <w:sz w:val="24"/>
          <w:szCs w:val="24"/>
        </w:rPr>
        <w:t>1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Charlotte Perkins Gilman (1860-1935) and </w:t>
      </w:r>
      <w:r>
        <w:rPr>
          <w:i/>
          <w:sz w:val="24"/>
          <w:szCs w:val="24"/>
        </w:rPr>
        <w:t>The Yellow Wallpaper</w:t>
      </w:r>
    </w:p>
    <w:p w14:paraId="2829461A" w14:textId="5B017004" w:rsidR="00B949D0" w:rsidRDefault="00537898">
      <w:pPr>
        <w:spacing w:line="260" w:lineRule="exact"/>
        <w:ind w:left="109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247381">
        <w:rPr>
          <w:sz w:val="24"/>
          <w:szCs w:val="24"/>
        </w:rPr>
        <w:t>. Gilman: An Expansive Voice within First-Wave Women’s M</w:t>
      </w:r>
      <w:r w:rsidR="00B949D0">
        <w:rPr>
          <w:sz w:val="24"/>
          <w:szCs w:val="24"/>
        </w:rPr>
        <w:t>ovement</w:t>
      </w:r>
      <w:r w:rsidR="003A6CF5">
        <w:rPr>
          <w:sz w:val="24"/>
          <w:szCs w:val="24"/>
        </w:rPr>
        <w:t>;</w:t>
      </w:r>
    </w:p>
    <w:p w14:paraId="438E7387" w14:textId="6641AE2F" w:rsidR="003A6CF5" w:rsidRDefault="00247381">
      <w:pPr>
        <w:spacing w:line="260" w:lineRule="exact"/>
        <w:ind w:left="109"/>
        <w:rPr>
          <w:sz w:val="24"/>
          <w:szCs w:val="24"/>
        </w:rPr>
      </w:pPr>
      <w:r>
        <w:rPr>
          <w:sz w:val="24"/>
          <w:szCs w:val="24"/>
        </w:rPr>
        <w:t xml:space="preserve">                  member</w:t>
      </w:r>
      <w:r w:rsidR="003A6CF5">
        <w:rPr>
          <w:sz w:val="24"/>
          <w:szCs w:val="24"/>
        </w:rPr>
        <w:t xml:space="preserve"> of “The Feminists”</w:t>
      </w:r>
    </w:p>
    <w:p w14:paraId="0F39F84C" w14:textId="77777777" w:rsidR="00B949D0" w:rsidRDefault="00B949D0">
      <w:pPr>
        <w:spacing w:line="260" w:lineRule="exact"/>
        <w:ind w:left="109"/>
        <w:rPr>
          <w:sz w:val="24"/>
          <w:szCs w:val="24"/>
        </w:rPr>
      </w:pPr>
    </w:p>
    <w:p w14:paraId="673F2D02" w14:textId="349A4202" w:rsidR="00825CE2" w:rsidRDefault="00B949D0">
      <w:pPr>
        <w:spacing w:before="2"/>
        <w:ind w:left="949" w:right="131"/>
        <w:rPr>
          <w:sz w:val="24"/>
          <w:szCs w:val="24"/>
        </w:rPr>
      </w:pPr>
      <w:r>
        <w:rPr>
          <w:sz w:val="24"/>
          <w:szCs w:val="24"/>
        </w:rPr>
        <w:t>2</w:t>
      </w:r>
      <w:r w:rsidR="006C5721">
        <w:rPr>
          <w:sz w:val="24"/>
          <w:szCs w:val="24"/>
        </w:rPr>
        <w:t xml:space="preserve">.  </w:t>
      </w:r>
      <w:r w:rsidR="006C5721">
        <w:rPr>
          <w:b/>
          <w:i/>
          <w:sz w:val="24"/>
          <w:szCs w:val="24"/>
        </w:rPr>
        <w:t>The Yellow Wallpaper</w:t>
      </w:r>
      <w:r w:rsidR="009C619F">
        <w:rPr>
          <w:b/>
          <w:sz w:val="24"/>
          <w:szCs w:val="24"/>
        </w:rPr>
        <w:t xml:space="preserve"> (1892)</w:t>
      </w:r>
      <w:r w:rsidR="006C5721">
        <w:rPr>
          <w:b/>
          <w:sz w:val="24"/>
          <w:szCs w:val="24"/>
        </w:rPr>
        <w:t xml:space="preserve">: </w:t>
      </w:r>
      <w:r w:rsidR="006C5721">
        <w:rPr>
          <w:sz w:val="24"/>
          <w:szCs w:val="24"/>
        </w:rPr>
        <w:t xml:space="preserve">Bridging Text between First Wave (1848-1920) and Second </w:t>
      </w:r>
      <w:r w:rsidR="001221D1">
        <w:rPr>
          <w:sz w:val="24"/>
          <w:szCs w:val="24"/>
        </w:rPr>
        <w:t xml:space="preserve"> + </w:t>
      </w:r>
      <w:r w:rsidR="006C5721">
        <w:rPr>
          <w:sz w:val="24"/>
          <w:szCs w:val="24"/>
        </w:rPr>
        <w:t>Wave (1966 -) of American Women’s Rights Activism</w:t>
      </w:r>
    </w:p>
    <w:p w14:paraId="7DAEA16E" w14:textId="77777777" w:rsidR="00825CE2" w:rsidRDefault="00825CE2">
      <w:pPr>
        <w:spacing w:before="12" w:line="280" w:lineRule="exact"/>
        <w:rPr>
          <w:sz w:val="28"/>
          <w:szCs w:val="28"/>
        </w:rPr>
      </w:pPr>
    </w:p>
    <w:p w14:paraId="2F73F4E5" w14:textId="5C159438" w:rsidR="00825CE2" w:rsidRDefault="00B949D0">
      <w:pPr>
        <w:spacing w:line="260" w:lineRule="exact"/>
        <w:ind w:left="829" w:right="284"/>
        <w:rPr>
          <w:sz w:val="24"/>
          <w:szCs w:val="24"/>
        </w:rPr>
      </w:pPr>
      <w:r>
        <w:rPr>
          <w:sz w:val="24"/>
          <w:szCs w:val="24"/>
        </w:rPr>
        <w:t>3</w:t>
      </w:r>
      <w:r w:rsidR="006C5721">
        <w:rPr>
          <w:sz w:val="24"/>
          <w:szCs w:val="24"/>
        </w:rPr>
        <w:t xml:space="preserve">. Small Group Discussion: </w:t>
      </w:r>
      <w:r w:rsidR="006C5721">
        <w:rPr>
          <w:b/>
          <w:i/>
          <w:sz w:val="24"/>
          <w:szCs w:val="24"/>
        </w:rPr>
        <w:t xml:space="preserve">The Yellow Wallpaper </w:t>
      </w:r>
      <w:r w:rsidR="006C5721">
        <w:rPr>
          <w:sz w:val="24"/>
          <w:szCs w:val="24"/>
        </w:rPr>
        <w:t xml:space="preserve">- Charlotte </w:t>
      </w:r>
      <w:r w:rsidR="00D86F42">
        <w:rPr>
          <w:sz w:val="24"/>
          <w:szCs w:val="24"/>
        </w:rPr>
        <w:t xml:space="preserve">Perkins Gilman </w:t>
      </w:r>
    </w:p>
    <w:p w14:paraId="0E86B974" w14:textId="77777777" w:rsidR="00825CE2" w:rsidRDefault="00825CE2">
      <w:pPr>
        <w:spacing w:before="11" w:line="260" w:lineRule="exact"/>
        <w:rPr>
          <w:sz w:val="26"/>
          <w:szCs w:val="26"/>
        </w:rPr>
      </w:pPr>
    </w:p>
    <w:p w14:paraId="61855CD2" w14:textId="5382F14E" w:rsidR="00825CE2" w:rsidRDefault="00D86F42">
      <w:pPr>
        <w:ind w:left="829" w:right="751" w:firstLine="120"/>
        <w:rPr>
          <w:sz w:val="24"/>
          <w:szCs w:val="24"/>
        </w:rPr>
      </w:pPr>
      <w:r>
        <w:rPr>
          <w:sz w:val="24"/>
          <w:szCs w:val="24"/>
        </w:rPr>
        <w:t>4</w:t>
      </w:r>
      <w:r w:rsidR="006C5721">
        <w:rPr>
          <w:sz w:val="24"/>
          <w:szCs w:val="24"/>
        </w:rPr>
        <w:t>. Meanings of this text in the contemporary period; relationship to oth</w:t>
      </w:r>
      <w:r w:rsidR="000F2144">
        <w:rPr>
          <w:sz w:val="24"/>
          <w:szCs w:val="24"/>
        </w:rPr>
        <w:t>er accounts of women and mental/emotional disturbance</w:t>
      </w:r>
      <w:r w:rsidR="006C5721">
        <w:rPr>
          <w:sz w:val="24"/>
          <w:szCs w:val="24"/>
        </w:rPr>
        <w:t xml:space="preserve"> (e.g., Sylvia Plath – </w:t>
      </w:r>
      <w:r w:rsidR="006C5721">
        <w:rPr>
          <w:i/>
          <w:sz w:val="24"/>
          <w:szCs w:val="24"/>
        </w:rPr>
        <w:t xml:space="preserve">The Bell Jar, </w:t>
      </w:r>
      <w:r w:rsidR="006C5721">
        <w:rPr>
          <w:sz w:val="24"/>
          <w:szCs w:val="24"/>
        </w:rPr>
        <w:t xml:space="preserve">Susanna Kaysen- </w:t>
      </w:r>
      <w:r w:rsidR="006C5721">
        <w:rPr>
          <w:i/>
          <w:sz w:val="24"/>
          <w:szCs w:val="24"/>
        </w:rPr>
        <w:t>Girl, Interrupted</w:t>
      </w:r>
      <w:r w:rsidR="006C5721">
        <w:rPr>
          <w:sz w:val="24"/>
          <w:szCs w:val="24"/>
        </w:rPr>
        <w:t xml:space="preserve">). Is </w:t>
      </w:r>
      <w:r w:rsidR="006C5721">
        <w:rPr>
          <w:b/>
          <w:i/>
          <w:sz w:val="24"/>
          <w:szCs w:val="24"/>
        </w:rPr>
        <w:t xml:space="preserve">The Yellow Wallpaper </w:t>
      </w:r>
      <w:r w:rsidR="006C5721">
        <w:rPr>
          <w:sz w:val="24"/>
          <w:szCs w:val="24"/>
        </w:rPr>
        <w:t>a “feminist” text?</w:t>
      </w:r>
    </w:p>
    <w:p w14:paraId="5446E1A5" w14:textId="77777777" w:rsidR="00825CE2" w:rsidRDefault="00825CE2">
      <w:pPr>
        <w:spacing w:before="6" w:line="280" w:lineRule="exact"/>
        <w:rPr>
          <w:sz w:val="28"/>
          <w:szCs w:val="28"/>
        </w:rPr>
      </w:pPr>
    </w:p>
    <w:p w14:paraId="3E4B4C5C" w14:textId="34E9A635" w:rsidR="00825CE2" w:rsidRDefault="00D86F42">
      <w:pPr>
        <w:ind w:left="769"/>
        <w:rPr>
          <w:sz w:val="24"/>
          <w:szCs w:val="24"/>
        </w:rPr>
      </w:pPr>
      <w:r>
        <w:rPr>
          <w:sz w:val="24"/>
          <w:szCs w:val="24"/>
        </w:rPr>
        <w:t>5</w:t>
      </w:r>
      <w:r w:rsidR="006C5721">
        <w:rPr>
          <w:sz w:val="24"/>
          <w:szCs w:val="24"/>
        </w:rPr>
        <w:t>. The Conceptual Legacy of the “First Wave” of American Women’s Rights</w:t>
      </w:r>
    </w:p>
    <w:p w14:paraId="69BD41F5" w14:textId="77777777" w:rsidR="00825CE2" w:rsidRDefault="006C5721">
      <w:pPr>
        <w:spacing w:line="260" w:lineRule="exact"/>
        <w:ind w:left="109"/>
        <w:rPr>
          <w:sz w:val="24"/>
          <w:szCs w:val="24"/>
        </w:rPr>
      </w:pPr>
      <w:r>
        <w:rPr>
          <w:sz w:val="24"/>
          <w:szCs w:val="24"/>
        </w:rPr>
        <w:t>Activism for Women’s and Gender Studies</w:t>
      </w:r>
    </w:p>
    <w:p w14:paraId="1C983A5C" w14:textId="77777777" w:rsidR="00825CE2" w:rsidRDefault="006C5721">
      <w:pPr>
        <w:spacing w:before="7"/>
        <w:ind w:left="1369" w:right="204" w:hanging="3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 xml:space="preserve">Critiquing the “Lenses of Gender”—(Psychologist Sandra Bem, </w:t>
      </w:r>
      <w:r>
        <w:rPr>
          <w:i/>
          <w:sz w:val="24"/>
          <w:szCs w:val="24"/>
        </w:rPr>
        <w:t>The Lenses of Gender</w:t>
      </w:r>
      <w:r>
        <w:rPr>
          <w:sz w:val="24"/>
          <w:szCs w:val="24"/>
        </w:rPr>
        <w:t>)- (Grimke, Stanton, Truth, Anthony, Stone-Blackwell, Douglass)</w:t>
      </w:r>
    </w:p>
    <w:p w14:paraId="1703938C" w14:textId="77777777" w:rsidR="00825CE2" w:rsidRDefault="006C5721">
      <w:pPr>
        <w:spacing w:line="260" w:lineRule="exact"/>
        <w:ind w:left="1369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b/>
          <w:sz w:val="24"/>
          <w:szCs w:val="24"/>
        </w:rPr>
        <w:t>Biological Essentialism/Determinism</w:t>
      </w:r>
      <w:r>
        <w:rPr>
          <w:sz w:val="24"/>
          <w:szCs w:val="24"/>
        </w:rPr>
        <w:t>-views gendered roles/hierarchy and</w:t>
      </w:r>
    </w:p>
    <w:p w14:paraId="7F401734" w14:textId="77777777" w:rsidR="00825CE2" w:rsidRDefault="006C5721">
      <w:pPr>
        <w:spacing w:before="2"/>
        <w:ind w:left="1369"/>
        <w:rPr>
          <w:sz w:val="24"/>
          <w:szCs w:val="24"/>
        </w:rPr>
      </w:pPr>
      <w:r>
        <w:rPr>
          <w:sz w:val="24"/>
          <w:szCs w:val="24"/>
        </w:rPr>
        <w:t>male domination as rooted intrinsically in biology, esp. reproductive biology</w:t>
      </w:r>
    </w:p>
    <w:p w14:paraId="58C732AE" w14:textId="77777777" w:rsidR="00825CE2" w:rsidRDefault="006C5721">
      <w:pPr>
        <w:spacing w:before="2" w:line="260" w:lineRule="exact"/>
        <w:ind w:left="1009" w:right="153" w:firstLine="42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b/>
          <w:sz w:val="24"/>
          <w:szCs w:val="24"/>
        </w:rPr>
        <w:t xml:space="preserve">Androcentrism </w:t>
      </w:r>
      <w:r>
        <w:rPr>
          <w:sz w:val="24"/>
          <w:szCs w:val="24"/>
        </w:rPr>
        <w:t>(male-centeredness)- defines males and male experience as the norm and females and female experience as a deviation from that norm.</w:t>
      </w:r>
    </w:p>
    <w:p w14:paraId="6CF022BD" w14:textId="273E081A" w:rsidR="00825CE2" w:rsidRDefault="006C5721">
      <w:pPr>
        <w:spacing w:before="7" w:line="260" w:lineRule="exact"/>
        <w:ind w:left="1429" w:right="618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>
        <w:rPr>
          <w:b/>
          <w:sz w:val="24"/>
          <w:szCs w:val="24"/>
        </w:rPr>
        <w:t xml:space="preserve">Gender polarization- </w:t>
      </w:r>
      <w:r>
        <w:rPr>
          <w:sz w:val="24"/>
          <w:szCs w:val="24"/>
        </w:rPr>
        <w:t xml:space="preserve">assumes the gender binary, and </w:t>
      </w:r>
      <w:r w:rsidR="000F2144">
        <w:rPr>
          <w:sz w:val="24"/>
          <w:szCs w:val="24"/>
        </w:rPr>
        <w:t>that male and female</w:t>
      </w:r>
      <w:r>
        <w:rPr>
          <w:sz w:val="24"/>
          <w:szCs w:val="24"/>
        </w:rPr>
        <w:t xml:space="preserve"> are opposite in nature;</w:t>
      </w:r>
    </w:p>
    <w:p w14:paraId="53718B38" w14:textId="77777777" w:rsidR="00825CE2" w:rsidRDefault="006C5721">
      <w:pPr>
        <w:spacing w:line="260" w:lineRule="exact"/>
        <w:ind w:left="1669" w:right="684"/>
        <w:rPr>
          <w:sz w:val="24"/>
          <w:szCs w:val="24"/>
        </w:rPr>
      </w:pPr>
      <w:r>
        <w:rPr>
          <w:sz w:val="24"/>
          <w:szCs w:val="24"/>
        </w:rPr>
        <w:t>This lens may be superimposed on many aspects of dress, behavior, language, family roles, work and sexuality.</w:t>
      </w:r>
    </w:p>
    <w:p w14:paraId="45F6C62D" w14:textId="77777777" w:rsidR="00825CE2" w:rsidRDefault="006C5721">
      <w:pPr>
        <w:spacing w:line="240" w:lineRule="exact"/>
        <w:ind w:left="1009"/>
        <w:rPr>
          <w:sz w:val="24"/>
          <w:szCs w:val="24"/>
        </w:rPr>
      </w:pPr>
      <w:r>
        <w:rPr>
          <w:sz w:val="24"/>
          <w:szCs w:val="24"/>
        </w:rPr>
        <w:t xml:space="preserve">b.   Articulating a critique of the gender system as one of </w:t>
      </w:r>
      <w:r>
        <w:rPr>
          <w:b/>
          <w:sz w:val="24"/>
          <w:szCs w:val="24"/>
        </w:rPr>
        <w:t xml:space="preserve">performance </w:t>
      </w:r>
      <w:r>
        <w:rPr>
          <w:sz w:val="24"/>
          <w:szCs w:val="24"/>
        </w:rPr>
        <w:t>and</w:t>
      </w:r>
    </w:p>
    <w:p w14:paraId="271D763B" w14:textId="77777777" w:rsidR="00825CE2" w:rsidRDefault="006C5721">
      <w:pPr>
        <w:spacing w:line="240" w:lineRule="exact"/>
        <w:ind w:left="1369"/>
        <w:rPr>
          <w:sz w:val="24"/>
          <w:szCs w:val="24"/>
        </w:rPr>
      </w:pPr>
      <w:r>
        <w:rPr>
          <w:b/>
          <w:sz w:val="24"/>
          <w:szCs w:val="24"/>
        </w:rPr>
        <w:t>power</w:t>
      </w:r>
      <w:r>
        <w:rPr>
          <w:sz w:val="24"/>
          <w:szCs w:val="24"/>
        </w:rPr>
        <w:t>; Describing a model of a system in which the parts (social/cultural,</w:t>
      </w:r>
    </w:p>
    <w:p w14:paraId="304D6CA8" w14:textId="77777777" w:rsidR="00825CE2" w:rsidRDefault="006C5721">
      <w:pPr>
        <w:spacing w:before="1" w:line="260" w:lineRule="exact"/>
        <w:ind w:left="1369" w:right="412"/>
        <w:rPr>
          <w:sz w:val="24"/>
          <w:szCs w:val="24"/>
        </w:rPr>
      </w:pPr>
      <w:r>
        <w:rPr>
          <w:sz w:val="24"/>
          <w:szCs w:val="24"/>
        </w:rPr>
        <w:t>legal/economic) not only work together to maintain a gendered hierarchy, but also can be targeted separately for change (“Dec. of Sentiments…”)</w:t>
      </w:r>
    </w:p>
    <w:p w14:paraId="254E3DDA" w14:textId="77777777" w:rsidR="00825CE2" w:rsidRDefault="006C5721">
      <w:pPr>
        <w:spacing w:line="240" w:lineRule="exact"/>
        <w:ind w:left="1009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 xml:space="preserve">Identifying </w:t>
      </w:r>
      <w:r>
        <w:rPr>
          <w:i/>
          <w:sz w:val="24"/>
          <w:szCs w:val="24"/>
        </w:rPr>
        <w:t xml:space="preserve">contradictions </w:t>
      </w:r>
      <w:r>
        <w:rPr>
          <w:sz w:val="24"/>
          <w:szCs w:val="24"/>
        </w:rPr>
        <w:t>within the political, economic and familial system</w:t>
      </w:r>
    </w:p>
    <w:p w14:paraId="45A79F59" w14:textId="3F55A8F8" w:rsidR="00825CE2" w:rsidRDefault="006C5721">
      <w:pPr>
        <w:spacing w:before="4" w:line="260" w:lineRule="exact"/>
        <w:ind w:left="1369" w:right="225"/>
        <w:rPr>
          <w:sz w:val="24"/>
          <w:szCs w:val="24"/>
        </w:rPr>
      </w:pPr>
      <w:r>
        <w:rPr>
          <w:sz w:val="24"/>
          <w:szCs w:val="24"/>
        </w:rPr>
        <w:t xml:space="preserve">that promote conflict, questioning and change (Smith-Rosenberg); rejecting monolithic concepts of </w:t>
      </w:r>
      <w:r>
        <w:rPr>
          <w:i/>
          <w:sz w:val="24"/>
          <w:szCs w:val="24"/>
        </w:rPr>
        <w:t>culture</w:t>
      </w:r>
      <w:r w:rsidR="000F2144">
        <w:rPr>
          <w:sz w:val="24"/>
          <w:szCs w:val="24"/>
        </w:rPr>
        <w:t>; affirming model</w:t>
      </w:r>
      <w:r>
        <w:rPr>
          <w:sz w:val="24"/>
          <w:szCs w:val="24"/>
        </w:rPr>
        <w:t xml:space="preserve"> of </w:t>
      </w:r>
      <w:r>
        <w:rPr>
          <w:i/>
          <w:sz w:val="24"/>
          <w:szCs w:val="24"/>
        </w:rPr>
        <w:t>cultural conflict</w:t>
      </w:r>
    </w:p>
    <w:p w14:paraId="4A98FA4A" w14:textId="77777777" w:rsidR="00825CE2" w:rsidRDefault="006C5721">
      <w:pPr>
        <w:spacing w:line="240" w:lineRule="exact"/>
        <w:ind w:left="1009"/>
        <w:rPr>
          <w:sz w:val="24"/>
          <w:szCs w:val="24"/>
        </w:rPr>
      </w:pPr>
      <w:r>
        <w:rPr>
          <w:sz w:val="24"/>
          <w:szCs w:val="24"/>
        </w:rPr>
        <w:t>d.   Establishing models of social change that include diverse political, social</w:t>
      </w:r>
    </w:p>
    <w:p w14:paraId="69C6C45E" w14:textId="23553D22" w:rsidR="00825CE2" w:rsidRDefault="006C5721">
      <w:pPr>
        <w:spacing w:line="260" w:lineRule="exact"/>
        <w:ind w:left="1369"/>
        <w:rPr>
          <w:sz w:val="24"/>
          <w:szCs w:val="24"/>
        </w:rPr>
      </w:pPr>
      <w:r>
        <w:rPr>
          <w:sz w:val="24"/>
          <w:szCs w:val="24"/>
        </w:rPr>
        <w:t>and economic strategies</w:t>
      </w:r>
      <w:r w:rsidR="009C619F">
        <w:rPr>
          <w:sz w:val="24"/>
          <w:szCs w:val="24"/>
        </w:rPr>
        <w:t xml:space="preserve"> </w:t>
      </w:r>
    </w:p>
    <w:p w14:paraId="0968420A" w14:textId="4D53C0A6" w:rsidR="00825CE2" w:rsidRDefault="006C5721">
      <w:pPr>
        <w:spacing w:before="2" w:line="260" w:lineRule="exact"/>
        <w:ind w:left="1429" w:right="804" w:hanging="60"/>
        <w:rPr>
          <w:sz w:val="24"/>
          <w:szCs w:val="24"/>
        </w:rPr>
      </w:pPr>
      <w:r>
        <w:rPr>
          <w:sz w:val="24"/>
          <w:szCs w:val="24"/>
        </w:rPr>
        <w:t>(Stanton, Anthony, Truth, Douglass, Stone-Blackwell,</w:t>
      </w:r>
      <w:r w:rsidR="000C52FD">
        <w:rPr>
          <w:sz w:val="24"/>
          <w:szCs w:val="24"/>
        </w:rPr>
        <w:t xml:space="preserve"> Cooper,</w:t>
      </w:r>
      <w:r>
        <w:rPr>
          <w:sz w:val="24"/>
          <w:szCs w:val="24"/>
        </w:rPr>
        <w:t xml:space="preserve"> Wells-Barnett, Gilman)</w:t>
      </w:r>
    </w:p>
    <w:p w14:paraId="7FBA1EB8" w14:textId="77777777" w:rsidR="00825CE2" w:rsidRDefault="006C5721">
      <w:pPr>
        <w:spacing w:line="260" w:lineRule="exact"/>
        <w:ind w:left="1009"/>
        <w:rPr>
          <w:sz w:val="24"/>
          <w:szCs w:val="24"/>
        </w:rPr>
      </w:pPr>
      <w:r>
        <w:rPr>
          <w:sz w:val="24"/>
          <w:szCs w:val="24"/>
        </w:rPr>
        <w:t xml:space="preserve">e.  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 xml:space="preserve">Questioning the meaning of </w:t>
      </w:r>
      <w:r>
        <w:rPr>
          <w:i/>
          <w:sz w:val="24"/>
          <w:szCs w:val="24"/>
        </w:rPr>
        <w:t>gender equality</w:t>
      </w:r>
      <w:r>
        <w:rPr>
          <w:sz w:val="24"/>
          <w:szCs w:val="24"/>
        </w:rPr>
        <w:t>: sameness or difference?</w:t>
      </w:r>
    </w:p>
    <w:p w14:paraId="223975AD" w14:textId="77777777" w:rsidR="00825CE2" w:rsidRDefault="006C5721">
      <w:pPr>
        <w:spacing w:line="260" w:lineRule="exact"/>
        <w:ind w:left="1009"/>
        <w:rPr>
          <w:sz w:val="24"/>
          <w:szCs w:val="24"/>
        </w:rPr>
      </w:pPr>
      <w:r>
        <w:rPr>
          <w:sz w:val="24"/>
          <w:szCs w:val="24"/>
        </w:rPr>
        <w:t>f.    Creating connections and affirming differences among various groups of</w:t>
      </w:r>
    </w:p>
    <w:p w14:paraId="11643901" w14:textId="77777777" w:rsidR="00825CE2" w:rsidRDefault="006C5721">
      <w:pPr>
        <w:spacing w:before="2"/>
        <w:ind w:left="1429"/>
        <w:rPr>
          <w:sz w:val="24"/>
          <w:szCs w:val="24"/>
        </w:rPr>
      </w:pPr>
      <w:r>
        <w:rPr>
          <w:sz w:val="24"/>
          <w:szCs w:val="24"/>
        </w:rPr>
        <w:t xml:space="preserve">women; theorizing </w:t>
      </w:r>
      <w:r>
        <w:rPr>
          <w:i/>
          <w:sz w:val="24"/>
          <w:szCs w:val="24"/>
        </w:rPr>
        <w:t xml:space="preserve">intersectionality </w:t>
      </w:r>
      <w:r>
        <w:rPr>
          <w:sz w:val="24"/>
          <w:szCs w:val="24"/>
        </w:rPr>
        <w:t>of race/gender/ethnicity/class</w:t>
      </w:r>
    </w:p>
    <w:p w14:paraId="4CEB95F5" w14:textId="77777777" w:rsidR="00825CE2" w:rsidRDefault="006C5721">
      <w:pPr>
        <w:spacing w:line="260" w:lineRule="exact"/>
        <w:ind w:left="1429"/>
        <w:rPr>
          <w:sz w:val="24"/>
          <w:szCs w:val="24"/>
        </w:rPr>
      </w:pPr>
      <w:r>
        <w:rPr>
          <w:sz w:val="24"/>
          <w:szCs w:val="24"/>
        </w:rPr>
        <w:t>(Davis, Truth, Boydston, Stanton, Cooper, Wells-Barnett)</w:t>
      </w:r>
    </w:p>
    <w:p w14:paraId="1C8A753D" w14:textId="543FF514" w:rsidR="000C52FD" w:rsidRPr="000F2144" w:rsidRDefault="000C52FD" w:rsidP="000F2144">
      <w:pPr>
        <w:spacing w:before="5" w:line="260" w:lineRule="exact"/>
        <w:ind w:left="1369" w:right="138"/>
        <w:rPr>
          <w:sz w:val="24"/>
          <w:szCs w:val="24"/>
        </w:rPr>
      </w:pPr>
      <w:r>
        <w:rPr>
          <w:sz w:val="24"/>
          <w:szCs w:val="24"/>
        </w:rPr>
        <w:t xml:space="preserve">g. </w:t>
      </w:r>
      <w:r w:rsidR="006C5721">
        <w:rPr>
          <w:sz w:val="24"/>
          <w:szCs w:val="24"/>
        </w:rPr>
        <w:t>Conceptualizing the role of men as allies</w:t>
      </w:r>
      <w:r>
        <w:rPr>
          <w:sz w:val="24"/>
          <w:szCs w:val="24"/>
        </w:rPr>
        <w:t xml:space="preserve"> and beneficiaries</w:t>
      </w:r>
      <w:r w:rsidR="006C5721">
        <w:rPr>
          <w:sz w:val="24"/>
          <w:szCs w:val="24"/>
        </w:rPr>
        <w:t xml:space="preserve"> in women’s rights movements </w:t>
      </w:r>
      <w:r>
        <w:rPr>
          <w:sz w:val="24"/>
          <w:szCs w:val="24"/>
        </w:rPr>
        <w:t xml:space="preserve">(“Sentiments” male signers, Douglass, Blackwell); </w:t>
      </w:r>
    </w:p>
    <w:p w14:paraId="04E4B37F" w14:textId="2112908D" w:rsidR="00825CE2" w:rsidRDefault="00825CE2">
      <w:pPr>
        <w:tabs>
          <w:tab w:val="left" w:pos="1420"/>
        </w:tabs>
        <w:spacing w:before="2" w:line="260" w:lineRule="exact"/>
        <w:ind w:left="1369" w:right="551" w:hanging="360"/>
        <w:rPr>
          <w:sz w:val="24"/>
          <w:szCs w:val="24"/>
        </w:rPr>
      </w:pPr>
    </w:p>
    <w:p w14:paraId="172C5948" w14:textId="737BCDAD" w:rsidR="00825CE2" w:rsidRDefault="00537898">
      <w:pPr>
        <w:spacing w:line="263" w:lineRule="auto"/>
        <w:ind w:left="1492" w:right="635" w:hanging="743"/>
        <w:rPr>
          <w:rFonts w:eastAsia="Georgia" w:cs="Georgia"/>
          <w:w w:val="105"/>
          <w:sz w:val="24"/>
          <w:szCs w:val="24"/>
        </w:rPr>
      </w:pPr>
      <w:r w:rsidRPr="007D699D">
        <w:rPr>
          <w:rFonts w:eastAsia="Georgia" w:cs="Georgia"/>
          <w:spacing w:val="4"/>
          <w:sz w:val="24"/>
          <w:szCs w:val="24"/>
        </w:rPr>
        <w:t>6</w:t>
      </w:r>
      <w:r w:rsidR="006C5721" w:rsidRPr="007D699D">
        <w:rPr>
          <w:rFonts w:eastAsia="Georgia" w:cs="Georgia"/>
          <w:sz w:val="24"/>
          <w:szCs w:val="24"/>
        </w:rPr>
        <w:t xml:space="preserve">.   </w:t>
      </w:r>
      <w:r w:rsidR="006C5721" w:rsidRPr="007D699D">
        <w:rPr>
          <w:rFonts w:eastAsia="Georgia" w:cs="Georgia"/>
          <w:spacing w:val="2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4"/>
          <w:sz w:val="24"/>
          <w:szCs w:val="24"/>
        </w:rPr>
        <w:t>Th</w:t>
      </w:r>
      <w:r w:rsidR="006C5721" w:rsidRPr="007D699D">
        <w:rPr>
          <w:rFonts w:eastAsia="Georgia" w:cs="Georgia"/>
          <w:sz w:val="24"/>
          <w:szCs w:val="24"/>
        </w:rPr>
        <w:t>e</w:t>
      </w:r>
      <w:r w:rsidR="006C5721" w:rsidRPr="007D699D">
        <w:rPr>
          <w:rFonts w:eastAsia="Georgia" w:cs="Georgia"/>
          <w:spacing w:val="25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5"/>
          <w:sz w:val="24"/>
          <w:szCs w:val="24"/>
        </w:rPr>
        <w:t>Y</w:t>
      </w:r>
      <w:r w:rsidR="006C5721" w:rsidRPr="007D699D">
        <w:rPr>
          <w:rFonts w:eastAsia="Georgia" w:cs="Georgia"/>
          <w:spacing w:val="4"/>
          <w:sz w:val="24"/>
          <w:szCs w:val="24"/>
        </w:rPr>
        <w:t>ea</w:t>
      </w:r>
      <w:r w:rsidR="006C5721" w:rsidRPr="007D699D">
        <w:rPr>
          <w:rFonts w:eastAsia="Georgia" w:cs="Georgia"/>
          <w:spacing w:val="3"/>
          <w:sz w:val="24"/>
          <w:szCs w:val="24"/>
        </w:rPr>
        <w:t>r</w:t>
      </w:r>
      <w:r w:rsidR="006C5721" w:rsidRPr="007D699D">
        <w:rPr>
          <w:rFonts w:eastAsia="Georgia" w:cs="Georgia"/>
          <w:sz w:val="24"/>
          <w:szCs w:val="24"/>
        </w:rPr>
        <w:t>s</w:t>
      </w:r>
      <w:r w:rsidR="006C5721" w:rsidRPr="007D699D">
        <w:rPr>
          <w:rFonts w:eastAsia="Georgia" w:cs="Georgia"/>
          <w:spacing w:val="35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5"/>
          <w:sz w:val="24"/>
          <w:szCs w:val="24"/>
        </w:rPr>
        <w:t>B</w:t>
      </w:r>
      <w:r w:rsidR="006C5721" w:rsidRPr="007D699D">
        <w:rPr>
          <w:rFonts w:eastAsia="Georgia" w:cs="Georgia"/>
          <w:spacing w:val="4"/>
          <w:sz w:val="24"/>
          <w:szCs w:val="24"/>
        </w:rPr>
        <w:t>e</w:t>
      </w:r>
      <w:r w:rsidR="006C5721" w:rsidRPr="007D699D">
        <w:rPr>
          <w:rFonts w:eastAsia="Georgia" w:cs="Georgia"/>
          <w:spacing w:val="2"/>
          <w:sz w:val="24"/>
          <w:szCs w:val="24"/>
        </w:rPr>
        <w:t>t</w:t>
      </w:r>
      <w:r w:rsidR="006C5721" w:rsidRPr="007D699D">
        <w:rPr>
          <w:rFonts w:eastAsia="Georgia" w:cs="Georgia"/>
          <w:spacing w:val="6"/>
          <w:sz w:val="24"/>
          <w:szCs w:val="24"/>
        </w:rPr>
        <w:t>w</w:t>
      </w:r>
      <w:r w:rsidR="006C5721" w:rsidRPr="007D699D">
        <w:rPr>
          <w:rFonts w:eastAsia="Georgia" w:cs="Georgia"/>
          <w:spacing w:val="4"/>
          <w:sz w:val="24"/>
          <w:szCs w:val="24"/>
        </w:rPr>
        <w:t>ee</w:t>
      </w:r>
      <w:r w:rsidR="006C5721" w:rsidRPr="007D699D">
        <w:rPr>
          <w:rFonts w:eastAsia="Georgia" w:cs="Georgia"/>
          <w:sz w:val="24"/>
          <w:szCs w:val="24"/>
        </w:rPr>
        <w:t>n</w:t>
      </w:r>
      <w:r w:rsidR="006C5721" w:rsidRPr="007D699D">
        <w:rPr>
          <w:rFonts w:eastAsia="Georgia" w:cs="Georgia"/>
          <w:spacing w:val="1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2"/>
          <w:sz w:val="24"/>
          <w:szCs w:val="24"/>
        </w:rPr>
        <w:t>t</w:t>
      </w:r>
      <w:r w:rsidR="006C5721" w:rsidRPr="007D699D">
        <w:rPr>
          <w:rFonts w:eastAsia="Georgia" w:cs="Georgia"/>
          <w:spacing w:val="4"/>
          <w:sz w:val="24"/>
          <w:szCs w:val="24"/>
        </w:rPr>
        <w:t>h</w:t>
      </w:r>
      <w:r w:rsidR="006C5721" w:rsidRPr="007D699D">
        <w:rPr>
          <w:rFonts w:eastAsia="Georgia" w:cs="Georgia"/>
          <w:sz w:val="24"/>
          <w:szCs w:val="24"/>
        </w:rPr>
        <w:t>e</w:t>
      </w:r>
      <w:r w:rsidR="006C5721" w:rsidRPr="007D699D">
        <w:rPr>
          <w:rFonts w:eastAsia="Georgia" w:cs="Georgia"/>
          <w:spacing w:val="22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8"/>
          <w:sz w:val="24"/>
          <w:szCs w:val="24"/>
        </w:rPr>
        <w:t>W</w:t>
      </w:r>
      <w:r w:rsidR="006C5721" w:rsidRPr="007D699D">
        <w:rPr>
          <w:rFonts w:eastAsia="Georgia" w:cs="Georgia"/>
          <w:spacing w:val="4"/>
          <w:sz w:val="24"/>
          <w:szCs w:val="24"/>
        </w:rPr>
        <w:t>ave</w:t>
      </w:r>
      <w:r w:rsidR="006C5721" w:rsidRPr="007D699D">
        <w:rPr>
          <w:rFonts w:eastAsia="Georgia" w:cs="Georgia"/>
          <w:sz w:val="24"/>
          <w:szCs w:val="24"/>
        </w:rPr>
        <w:t>s</w:t>
      </w:r>
      <w:r w:rsidR="006C5721" w:rsidRPr="007D699D">
        <w:rPr>
          <w:rFonts w:eastAsia="Georgia" w:cs="Georgia"/>
          <w:spacing w:val="38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4"/>
          <w:sz w:val="24"/>
          <w:szCs w:val="24"/>
        </w:rPr>
        <w:t>o</w:t>
      </w:r>
      <w:r w:rsidR="006C5721" w:rsidRPr="007D699D">
        <w:rPr>
          <w:rFonts w:eastAsia="Georgia" w:cs="Georgia"/>
          <w:sz w:val="24"/>
          <w:szCs w:val="24"/>
        </w:rPr>
        <w:t>f</w:t>
      </w:r>
      <w:r w:rsidR="006C5721" w:rsidRPr="007D699D">
        <w:rPr>
          <w:rFonts w:eastAsia="Georgia" w:cs="Georgia"/>
          <w:spacing w:val="16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6"/>
          <w:sz w:val="24"/>
          <w:szCs w:val="24"/>
        </w:rPr>
        <w:t>U</w:t>
      </w:r>
      <w:r w:rsidR="006C5721" w:rsidRPr="007D699D">
        <w:rPr>
          <w:rFonts w:eastAsia="Georgia" w:cs="Georgia"/>
          <w:spacing w:val="2"/>
          <w:sz w:val="24"/>
          <w:szCs w:val="24"/>
        </w:rPr>
        <w:t>.</w:t>
      </w:r>
      <w:r w:rsidR="006C5721" w:rsidRPr="007D699D">
        <w:rPr>
          <w:rFonts w:eastAsia="Georgia" w:cs="Georgia"/>
          <w:spacing w:val="4"/>
          <w:sz w:val="24"/>
          <w:szCs w:val="24"/>
        </w:rPr>
        <w:t>S</w:t>
      </w:r>
      <w:r w:rsidR="006C5721" w:rsidRPr="007D699D">
        <w:rPr>
          <w:rFonts w:eastAsia="Georgia" w:cs="Georgia"/>
          <w:sz w:val="24"/>
          <w:szCs w:val="24"/>
        </w:rPr>
        <w:t>.</w:t>
      </w:r>
      <w:r w:rsidR="006C5721" w:rsidRPr="007D699D">
        <w:rPr>
          <w:rFonts w:eastAsia="Georgia" w:cs="Georgia"/>
          <w:spacing w:val="26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8"/>
          <w:sz w:val="24"/>
          <w:szCs w:val="24"/>
        </w:rPr>
        <w:t>W</w:t>
      </w:r>
      <w:r w:rsidR="006C5721" w:rsidRPr="007D699D">
        <w:rPr>
          <w:rFonts w:eastAsia="Georgia" w:cs="Georgia"/>
          <w:spacing w:val="4"/>
          <w:sz w:val="24"/>
          <w:szCs w:val="24"/>
        </w:rPr>
        <w:t>o</w:t>
      </w:r>
      <w:r w:rsidR="006C5721" w:rsidRPr="007D699D">
        <w:rPr>
          <w:rFonts w:eastAsia="Georgia" w:cs="Georgia"/>
          <w:spacing w:val="6"/>
          <w:sz w:val="24"/>
          <w:szCs w:val="24"/>
        </w:rPr>
        <w:t>m</w:t>
      </w:r>
      <w:r w:rsidR="006C5721" w:rsidRPr="007D699D">
        <w:rPr>
          <w:rFonts w:eastAsia="Georgia" w:cs="Georgia"/>
          <w:spacing w:val="4"/>
          <w:sz w:val="24"/>
          <w:szCs w:val="24"/>
        </w:rPr>
        <w:t>en</w:t>
      </w:r>
      <w:r w:rsidR="006C5721" w:rsidRPr="007D699D">
        <w:rPr>
          <w:rFonts w:eastAsia="Georgia" w:cs="Georgia"/>
          <w:spacing w:val="2"/>
          <w:sz w:val="24"/>
          <w:szCs w:val="24"/>
        </w:rPr>
        <w:t>’</w:t>
      </w:r>
      <w:r w:rsidR="006C5721" w:rsidRPr="007D699D">
        <w:rPr>
          <w:rFonts w:eastAsia="Georgia" w:cs="Georgia"/>
          <w:sz w:val="24"/>
          <w:szCs w:val="24"/>
        </w:rPr>
        <w:t xml:space="preserve">s </w:t>
      </w:r>
      <w:r w:rsidR="006C5721" w:rsidRPr="007D699D">
        <w:rPr>
          <w:rFonts w:eastAsia="Georgia" w:cs="Georgia"/>
          <w:spacing w:val="4"/>
          <w:sz w:val="24"/>
          <w:szCs w:val="24"/>
        </w:rPr>
        <w:t>Rights</w:t>
      </w:r>
      <w:r w:rsidR="006C5721" w:rsidRPr="007D699D">
        <w:rPr>
          <w:rFonts w:eastAsia="Georgia" w:cs="Georgia"/>
          <w:spacing w:val="38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5"/>
          <w:sz w:val="24"/>
          <w:szCs w:val="24"/>
        </w:rPr>
        <w:t>A</w:t>
      </w:r>
      <w:r w:rsidR="006C5721" w:rsidRPr="007D699D">
        <w:rPr>
          <w:rFonts w:eastAsia="Georgia" w:cs="Georgia"/>
          <w:spacing w:val="4"/>
          <w:sz w:val="24"/>
          <w:szCs w:val="24"/>
        </w:rPr>
        <w:t>c</w:t>
      </w:r>
      <w:r w:rsidR="006C5721" w:rsidRPr="007D699D">
        <w:rPr>
          <w:rFonts w:eastAsia="Georgia" w:cs="Georgia"/>
          <w:spacing w:val="2"/>
          <w:sz w:val="24"/>
          <w:szCs w:val="24"/>
        </w:rPr>
        <w:t>ti</w:t>
      </w:r>
      <w:r w:rsidR="006C5721" w:rsidRPr="007D699D">
        <w:rPr>
          <w:rFonts w:eastAsia="Georgia" w:cs="Georgia"/>
          <w:spacing w:val="4"/>
          <w:sz w:val="24"/>
          <w:szCs w:val="24"/>
        </w:rPr>
        <w:t>v</w:t>
      </w:r>
      <w:r w:rsidR="006C5721" w:rsidRPr="007D699D">
        <w:rPr>
          <w:rFonts w:eastAsia="Georgia" w:cs="Georgia"/>
          <w:spacing w:val="2"/>
          <w:sz w:val="24"/>
          <w:szCs w:val="24"/>
        </w:rPr>
        <w:t>i</w:t>
      </w:r>
      <w:r w:rsidR="006C5721" w:rsidRPr="007D699D">
        <w:rPr>
          <w:rFonts w:eastAsia="Georgia" w:cs="Georgia"/>
          <w:spacing w:val="4"/>
          <w:sz w:val="24"/>
          <w:szCs w:val="24"/>
        </w:rPr>
        <w:t>s</w:t>
      </w:r>
      <w:r w:rsidR="006C5721" w:rsidRPr="007D699D">
        <w:rPr>
          <w:rFonts w:eastAsia="Georgia" w:cs="Georgia"/>
          <w:spacing w:val="6"/>
          <w:sz w:val="24"/>
          <w:szCs w:val="24"/>
        </w:rPr>
        <w:t>m</w:t>
      </w:r>
      <w:r w:rsidR="006C5721" w:rsidRPr="007D699D">
        <w:rPr>
          <w:rFonts w:eastAsia="Georgia" w:cs="Georgia"/>
          <w:sz w:val="24"/>
          <w:szCs w:val="24"/>
        </w:rPr>
        <w:t xml:space="preserve">: </w:t>
      </w:r>
      <w:r w:rsidR="006C5721" w:rsidRPr="007D699D">
        <w:rPr>
          <w:rFonts w:eastAsia="Georgia" w:cs="Georgia"/>
          <w:spacing w:val="3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3"/>
          <w:w w:val="106"/>
          <w:sz w:val="24"/>
          <w:szCs w:val="24"/>
        </w:rPr>
        <w:t>1</w:t>
      </w:r>
      <w:r w:rsidR="006C5721" w:rsidRPr="007D699D">
        <w:rPr>
          <w:rFonts w:eastAsia="Georgia" w:cs="Georgia"/>
          <w:spacing w:val="4"/>
          <w:w w:val="106"/>
          <w:sz w:val="24"/>
          <w:szCs w:val="24"/>
        </w:rPr>
        <w:t>9</w:t>
      </w:r>
      <w:r w:rsidR="006C5721" w:rsidRPr="007D699D">
        <w:rPr>
          <w:rFonts w:eastAsia="Georgia" w:cs="Georgia"/>
          <w:spacing w:val="4"/>
          <w:w w:val="105"/>
          <w:sz w:val="24"/>
          <w:szCs w:val="24"/>
        </w:rPr>
        <w:t>20</w:t>
      </w:r>
      <w:r w:rsidR="006C5721" w:rsidRPr="007D699D">
        <w:rPr>
          <w:rFonts w:eastAsia="Georgia" w:cs="Georgia"/>
          <w:spacing w:val="2"/>
          <w:w w:val="105"/>
          <w:sz w:val="24"/>
          <w:szCs w:val="24"/>
        </w:rPr>
        <w:t>-</w:t>
      </w:r>
      <w:r w:rsidR="00841359" w:rsidRPr="007D699D">
        <w:rPr>
          <w:rFonts w:eastAsia="Georgia" w:cs="Georgia"/>
          <w:spacing w:val="4"/>
          <w:w w:val="106"/>
          <w:sz w:val="24"/>
          <w:szCs w:val="24"/>
        </w:rPr>
        <w:t>60</w:t>
      </w:r>
      <w:r w:rsidR="006C5721" w:rsidRPr="007D699D">
        <w:rPr>
          <w:rFonts w:eastAsia="Georgia" w:cs="Georgia"/>
          <w:w w:val="105"/>
          <w:sz w:val="24"/>
          <w:szCs w:val="24"/>
        </w:rPr>
        <w:t xml:space="preserve">- </w:t>
      </w:r>
      <w:r w:rsidR="006C5721" w:rsidRPr="007D699D">
        <w:rPr>
          <w:rFonts w:eastAsia="Georgia" w:cs="Georgia"/>
          <w:spacing w:val="3"/>
          <w:sz w:val="24"/>
          <w:szCs w:val="24"/>
        </w:rPr>
        <w:t>“</w:t>
      </w:r>
      <w:r w:rsidR="006C5721" w:rsidRPr="007D699D">
        <w:rPr>
          <w:rFonts w:eastAsia="Georgia" w:cs="Georgia"/>
          <w:spacing w:val="6"/>
          <w:sz w:val="24"/>
          <w:szCs w:val="24"/>
        </w:rPr>
        <w:t>U</w:t>
      </w:r>
      <w:r w:rsidR="006C5721" w:rsidRPr="007D699D">
        <w:rPr>
          <w:rFonts w:eastAsia="Georgia" w:cs="Georgia"/>
          <w:spacing w:val="4"/>
          <w:sz w:val="24"/>
          <w:szCs w:val="24"/>
        </w:rPr>
        <w:t>nob</w:t>
      </w:r>
      <w:r w:rsidR="006C5721" w:rsidRPr="007D699D">
        <w:rPr>
          <w:rFonts w:eastAsia="Georgia" w:cs="Georgia"/>
          <w:spacing w:val="2"/>
          <w:sz w:val="24"/>
          <w:szCs w:val="24"/>
        </w:rPr>
        <w:t>t</w:t>
      </w:r>
      <w:r w:rsidR="006C5721" w:rsidRPr="007D699D">
        <w:rPr>
          <w:rFonts w:eastAsia="Georgia" w:cs="Georgia"/>
          <w:spacing w:val="3"/>
          <w:sz w:val="24"/>
          <w:szCs w:val="24"/>
        </w:rPr>
        <w:t>r</w:t>
      </w:r>
      <w:r w:rsidR="006C5721" w:rsidRPr="007D699D">
        <w:rPr>
          <w:rFonts w:eastAsia="Georgia" w:cs="Georgia"/>
          <w:spacing w:val="4"/>
          <w:sz w:val="24"/>
          <w:szCs w:val="24"/>
        </w:rPr>
        <w:t>us</w:t>
      </w:r>
      <w:r w:rsidR="006C5721" w:rsidRPr="007D699D">
        <w:rPr>
          <w:rFonts w:eastAsia="Georgia" w:cs="Georgia"/>
          <w:spacing w:val="2"/>
          <w:sz w:val="24"/>
          <w:szCs w:val="24"/>
        </w:rPr>
        <w:t>i</w:t>
      </w:r>
      <w:r w:rsidR="006C5721" w:rsidRPr="007D699D">
        <w:rPr>
          <w:rFonts w:eastAsia="Georgia" w:cs="Georgia"/>
          <w:spacing w:val="4"/>
          <w:sz w:val="24"/>
          <w:szCs w:val="24"/>
        </w:rPr>
        <w:t>v</w:t>
      </w:r>
      <w:r w:rsidR="006C5721" w:rsidRPr="007D699D">
        <w:rPr>
          <w:rFonts w:eastAsia="Georgia" w:cs="Georgia"/>
          <w:sz w:val="24"/>
          <w:szCs w:val="24"/>
        </w:rPr>
        <w:t xml:space="preserve">e </w:t>
      </w:r>
      <w:r w:rsidR="006C5721" w:rsidRPr="007D699D">
        <w:rPr>
          <w:rFonts w:eastAsia="Georgia" w:cs="Georgia"/>
          <w:spacing w:val="24"/>
          <w:sz w:val="24"/>
          <w:szCs w:val="24"/>
        </w:rPr>
        <w:t>Mobilization</w:t>
      </w:r>
      <w:r w:rsidR="006C5721" w:rsidRPr="007D699D">
        <w:rPr>
          <w:rFonts w:eastAsia="Georgia" w:cs="Georgia"/>
          <w:sz w:val="24"/>
          <w:szCs w:val="24"/>
        </w:rPr>
        <w:t>”</w:t>
      </w:r>
      <w:r w:rsidR="000C52FD" w:rsidRPr="007D699D">
        <w:rPr>
          <w:rFonts w:eastAsia="Georgia" w:cs="Georgia"/>
          <w:sz w:val="24"/>
          <w:szCs w:val="24"/>
        </w:rPr>
        <w:t xml:space="preserve"> (Katzenstein)</w:t>
      </w:r>
      <w:r w:rsidR="006C5721" w:rsidRPr="007D699D">
        <w:rPr>
          <w:rFonts w:eastAsia="Georgia" w:cs="Georgia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26"/>
          <w:sz w:val="24"/>
          <w:szCs w:val="24"/>
        </w:rPr>
        <w:t>or</w:t>
      </w:r>
      <w:r w:rsidR="006C5721" w:rsidRPr="007D699D">
        <w:rPr>
          <w:rFonts w:eastAsia="Georgia" w:cs="Georgia"/>
          <w:spacing w:val="19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4"/>
          <w:sz w:val="24"/>
          <w:szCs w:val="24"/>
        </w:rPr>
        <w:t>“Lu</w:t>
      </w:r>
      <w:r w:rsidR="006C5721" w:rsidRPr="007D699D">
        <w:rPr>
          <w:rFonts w:eastAsia="Georgia" w:cs="Georgia"/>
          <w:spacing w:val="2"/>
          <w:sz w:val="24"/>
          <w:szCs w:val="24"/>
        </w:rPr>
        <w:t>l</w:t>
      </w:r>
      <w:r w:rsidR="006C5721" w:rsidRPr="007D699D">
        <w:rPr>
          <w:rFonts w:eastAsia="Georgia" w:cs="Georgia"/>
          <w:sz w:val="24"/>
          <w:szCs w:val="24"/>
        </w:rPr>
        <w:t>l</w:t>
      </w:r>
      <w:r w:rsidR="006C5721" w:rsidRPr="007D699D">
        <w:rPr>
          <w:rFonts w:eastAsia="Georgia" w:cs="Georgia"/>
          <w:spacing w:val="29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5"/>
          <w:sz w:val="24"/>
          <w:szCs w:val="24"/>
        </w:rPr>
        <w:t>B</w:t>
      </w:r>
      <w:r w:rsidR="006C5721" w:rsidRPr="007D699D">
        <w:rPr>
          <w:rFonts w:eastAsia="Georgia" w:cs="Georgia"/>
          <w:spacing w:val="4"/>
          <w:sz w:val="24"/>
          <w:szCs w:val="24"/>
        </w:rPr>
        <w:t>e</w:t>
      </w:r>
      <w:r w:rsidR="006C5721" w:rsidRPr="007D699D">
        <w:rPr>
          <w:rFonts w:eastAsia="Georgia" w:cs="Georgia"/>
          <w:spacing w:val="2"/>
          <w:sz w:val="24"/>
          <w:szCs w:val="24"/>
        </w:rPr>
        <w:t>t</w:t>
      </w:r>
      <w:r w:rsidR="006C5721" w:rsidRPr="007D699D">
        <w:rPr>
          <w:rFonts w:eastAsia="Georgia" w:cs="Georgia"/>
          <w:spacing w:val="6"/>
          <w:sz w:val="24"/>
          <w:szCs w:val="24"/>
        </w:rPr>
        <w:t>w</w:t>
      </w:r>
      <w:r w:rsidR="006C5721" w:rsidRPr="007D699D">
        <w:rPr>
          <w:rFonts w:eastAsia="Georgia" w:cs="Georgia"/>
          <w:spacing w:val="4"/>
          <w:sz w:val="24"/>
          <w:szCs w:val="24"/>
        </w:rPr>
        <w:t>ee</w:t>
      </w:r>
      <w:r w:rsidR="006C5721" w:rsidRPr="007D699D">
        <w:rPr>
          <w:rFonts w:eastAsia="Georgia" w:cs="Georgia"/>
          <w:sz w:val="24"/>
          <w:szCs w:val="24"/>
        </w:rPr>
        <w:t xml:space="preserve">n </w:t>
      </w:r>
      <w:r w:rsidR="006C5721" w:rsidRPr="007D699D">
        <w:rPr>
          <w:rFonts w:eastAsia="Georgia" w:cs="Georgia"/>
          <w:spacing w:val="2"/>
          <w:sz w:val="24"/>
          <w:szCs w:val="24"/>
        </w:rPr>
        <w:t>t</w:t>
      </w:r>
      <w:r w:rsidR="006C5721" w:rsidRPr="007D699D">
        <w:rPr>
          <w:rFonts w:eastAsia="Georgia" w:cs="Georgia"/>
          <w:spacing w:val="4"/>
          <w:sz w:val="24"/>
          <w:szCs w:val="24"/>
        </w:rPr>
        <w:t>h</w:t>
      </w:r>
      <w:r w:rsidR="006C5721" w:rsidRPr="007D699D">
        <w:rPr>
          <w:rFonts w:eastAsia="Georgia" w:cs="Georgia"/>
          <w:sz w:val="24"/>
          <w:szCs w:val="24"/>
        </w:rPr>
        <w:t>e</w:t>
      </w:r>
      <w:r w:rsidR="006C5721" w:rsidRPr="007D699D">
        <w:rPr>
          <w:rFonts w:eastAsia="Georgia" w:cs="Georgia"/>
          <w:spacing w:val="23"/>
          <w:sz w:val="24"/>
          <w:szCs w:val="24"/>
        </w:rPr>
        <w:t xml:space="preserve"> </w:t>
      </w:r>
      <w:r w:rsidR="006C5721" w:rsidRPr="007D699D">
        <w:rPr>
          <w:rFonts w:eastAsia="Georgia" w:cs="Georgia"/>
          <w:spacing w:val="7"/>
          <w:w w:val="105"/>
          <w:sz w:val="24"/>
          <w:szCs w:val="24"/>
        </w:rPr>
        <w:t>W</w:t>
      </w:r>
      <w:r w:rsidR="006C5721" w:rsidRPr="007D699D">
        <w:rPr>
          <w:rFonts w:eastAsia="Georgia" w:cs="Georgia"/>
          <w:spacing w:val="4"/>
          <w:w w:val="106"/>
          <w:sz w:val="24"/>
          <w:szCs w:val="24"/>
        </w:rPr>
        <w:t>a</w:t>
      </w:r>
      <w:r w:rsidR="006C5721" w:rsidRPr="007D699D">
        <w:rPr>
          <w:rFonts w:eastAsia="Georgia" w:cs="Georgia"/>
          <w:spacing w:val="4"/>
          <w:w w:val="105"/>
          <w:sz w:val="24"/>
          <w:szCs w:val="24"/>
        </w:rPr>
        <w:t>ve</w:t>
      </w:r>
      <w:r w:rsidR="006C5721" w:rsidRPr="007D699D">
        <w:rPr>
          <w:rFonts w:eastAsia="Georgia" w:cs="Georgia"/>
          <w:spacing w:val="3"/>
          <w:w w:val="105"/>
          <w:sz w:val="24"/>
          <w:szCs w:val="24"/>
        </w:rPr>
        <w:t>s”</w:t>
      </w:r>
      <w:r w:rsidR="006C5721" w:rsidRPr="007D699D">
        <w:rPr>
          <w:rFonts w:eastAsia="Georgia" w:cs="Georgia"/>
          <w:w w:val="105"/>
          <w:sz w:val="24"/>
          <w:szCs w:val="24"/>
        </w:rPr>
        <w:t>?</w:t>
      </w:r>
      <w:r w:rsidR="000F2144">
        <w:rPr>
          <w:rFonts w:eastAsia="Georgia" w:cs="Georgia"/>
          <w:w w:val="105"/>
          <w:sz w:val="24"/>
          <w:szCs w:val="24"/>
        </w:rPr>
        <w:t xml:space="preserve"> Understanding Influence of WWII</w:t>
      </w:r>
    </w:p>
    <w:p w14:paraId="6F8E51F7" w14:textId="41EB7521" w:rsidR="00676D17" w:rsidRDefault="00676D17">
      <w:pPr>
        <w:rPr>
          <w:rFonts w:eastAsia="Georgia" w:cs="Georgia"/>
          <w:w w:val="105"/>
          <w:sz w:val="24"/>
          <w:szCs w:val="24"/>
        </w:rPr>
      </w:pPr>
      <w:r>
        <w:rPr>
          <w:rFonts w:eastAsia="Georgia" w:cs="Georgia"/>
          <w:w w:val="105"/>
          <w:sz w:val="24"/>
          <w:szCs w:val="24"/>
        </w:rPr>
        <w:br w:type="page"/>
      </w:r>
    </w:p>
    <w:p w14:paraId="00F94B55" w14:textId="77777777" w:rsidR="00676D17" w:rsidRDefault="00676D17">
      <w:pPr>
        <w:spacing w:line="263" w:lineRule="auto"/>
        <w:ind w:left="1492" w:right="635" w:hanging="743"/>
        <w:rPr>
          <w:rFonts w:eastAsia="Georgia" w:cs="Georgia"/>
          <w:w w:val="105"/>
          <w:sz w:val="24"/>
          <w:szCs w:val="24"/>
        </w:rPr>
      </w:pPr>
    </w:p>
    <w:p w14:paraId="1FD7234D" w14:textId="77777777" w:rsidR="00676D17" w:rsidRPr="0065769D" w:rsidRDefault="00676D17" w:rsidP="00676D17">
      <w:pPr>
        <w:rPr>
          <w:rFonts w:ascii="Arial" w:hAnsi="Arial"/>
        </w:rPr>
      </w:pPr>
      <w:r w:rsidRPr="0065769D">
        <w:rPr>
          <w:rFonts w:ascii="Arial" w:hAnsi="Arial"/>
        </w:rPr>
        <w:t>MIT OpenCourseWare</w:t>
      </w:r>
    </w:p>
    <w:p w14:paraId="1B720C6E" w14:textId="77777777" w:rsidR="00676D17" w:rsidRPr="0065769D" w:rsidRDefault="00676D17" w:rsidP="00676D17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01538812" w14:textId="77777777" w:rsidR="00676D17" w:rsidRPr="0065769D" w:rsidRDefault="00676D17" w:rsidP="00676D17">
      <w:pPr>
        <w:rPr>
          <w:rFonts w:ascii="Arial" w:hAnsi="Arial"/>
        </w:rPr>
      </w:pPr>
    </w:p>
    <w:p w14:paraId="7C97BF2D" w14:textId="77777777" w:rsidR="00676D17" w:rsidRPr="0065769D" w:rsidRDefault="00676D17" w:rsidP="00676D17">
      <w:pPr>
        <w:rPr>
          <w:rFonts w:ascii="Arial" w:hAnsi="Arial"/>
        </w:rPr>
      </w:pPr>
    </w:p>
    <w:p w14:paraId="648E1ABB" w14:textId="77777777" w:rsidR="00676D17" w:rsidRPr="0065769D" w:rsidRDefault="00676D17" w:rsidP="00676D17">
      <w:pPr>
        <w:rPr>
          <w:rFonts w:ascii="Arial" w:hAnsi="Arial"/>
        </w:rPr>
      </w:pPr>
    </w:p>
    <w:p w14:paraId="3AA46734" w14:textId="77777777" w:rsidR="00676D17" w:rsidRPr="0065769D" w:rsidRDefault="00676D17" w:rsidP="00676D17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5018059D" w14:textId="77777777" w:rsidR="00676D17" w:rsidRPr="0065769D" w:rsidRDefault="00676D17" w:rsidP="00676D17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449C3C11" w14:textId="77777777" w:rsidR="00676D17" w:rsidRPr="0065769D" w:rsidRDefault="00676D17" w:rsidP="00676D17">
      <w:pPr>
        <w:rPr>
          <w:rFonts w:ascii="Arial" w:hAnsi="Arial"/>
        </w:rPr>
      </w:pPr>
    </w:p>
    <w:p w14:paraId="38B91E76" w14:textId="77777777" w:rsidR="00676D17" w:rsidRPr="0065769D" w:rsidRDefault="00676D17" w:rsidP="00676D17">
      <w:pPr>
        <w:rPr>
          <w:rFonts w:ascii="Arial" w:hAnsi="Arial"/>
        </w:rPr>
      </w:pPr>
    </w:p>
    <w:p w14:paraId="30D256E1" w14:textId="77777777" w:rsidR="00676D17" w:rsidRPr="0065769D" w:rsidRDefault="00676D17" w:rsidP="00676D17">
      <w:pPr>
        <w:rPr>
          <w:rFonts w:ascii="Arial" w:hAnsi="Arial"/>
        </w:rPr>
      </w:pPr>
    </w:p>
    <w:p w14:paraId="105BD08E" w14:textId="77777777" w:rsidR="00676D17" w:rsidRPr="0065769D" w:rsidRDefault="00676D17" w:rsidP="00676D17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0939D56B" w14:textId="7FF61D83" w:rsidR="00676D17" w:rsidRDefault="00676D17">
      <w:pPr>
        <w:rPr>
          <w:rFonts w:eastAsia="Georgia" w:cs="Georgia"/>
          <w:w w:val="105"/>
          <w:sz w:val="24"/>
          <w:szCs w:val="24"/>
        </w:rPr>
      </w:pPr>
    </w:p>
    <w:sectPr w:rsidR="00676D17" w:rsidSect="00676D17">
      <w:footerReference w:type="default" r:id="rId9"/>
      <w:type w:val="continuous"/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8B259" w14:textId="77777777" w:rsidR="00676D17" w:rsidRDefault="00676D17" w:rsidP="00676D17">
      <w:r>
        <w:separator/>
      </w:r>
    </w:p>
  </w:endnote>
  <w:endnote w:type="continuationSeparator" w:id="0">
    <w:p w14:paraId="0CE26741" w14:textId="77777777" w:rsidR="00676D17" w:rsidRDefault="00676D17" w:rsidP="00676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38993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AA4A0E" w14:textId="49FF75D1" w:rsidR="00676D17" w:rsidRDefault="00676D1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ACF138" w14:textId="77777777" w:rsidR="00676D17" w:rsidRDefault="00676D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6E805" w14:textId="77777777" w:rsidR="00676D17" w:rsidRDefault="00676D17" w:rsidP="00676D17">
      <w:r>
        <w:separator/>
      </w:r>
    </w:p>
  </w:footnote>
  <w:footnote w:type="continuationSeparator" w:id="0">
    <w:p w14:paraId="12D03DA1" w14:textId="77777777" w:rsidR="00676D17" w:rsidRDefault="00676D17" w:rsidP="00676D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0629BF"/>
    <w:multiLevelType w:val="multilevel"/>
    <w:tmpl w:val="6CE0621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CE2"/>
    <w:rsid w:val="000C52FD"/>
    <w:rsid w:val="000E6BA7"/>
    <w:rsid w:val="000F2144"/>
    <w:rsid w:val="001221D1"/>
    <w:rsid w:val="001F060F"/>
    <w:rsid w:val="00247381"/>
    <w:rsid w:val="002E7F1E"/>
    <w:rsid w:val="003A6CF5"/>
    <w:rsid w:val="004976E6"/>
    <w:rsid w:val="00537898"/>
    <w:rsid w:val="00676D17"/>
    <w:rsid w:val="006C3C39"/>
    <w:rsid w:val="006C5721"/>
    <w:rsid w:val="007C3600"/>
    <w:rsid w:val="007D699D"/>
    <w:rsid w:val="00825CE2"/>
    <w:rsid w:val="00841359"/>
    <w:rsid w:val="009C619F"/>
    <w:rsid w:val="009D3625"/>
    <w:rsid w:val="00B949D0"/>
    <w:rsid w:val="00BB4203"/>
    <w:rsid w:val="00D86F42"/>
    <w:rsid w:val="00E03756"/>
    <w:rsid w:val="00E26FCB"/>
    <w:rsid w:val="00FF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ED486F"/>
  <w15:docId w15:val="{47891D9B-B6F2-4807-BB0F-2CBE8D330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rsid w:val="00676D1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76D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D17"/>
  </w:style>
  <w:style w:type="paragraph" w:styleId="Footer">
    <w:name w:val="footer"/>
    <w:basedOn w:val="Normal"/>
    <w:link w:val="FooterChar"/>
    <w:uiPriority w:val="99"/>
    <w:unhideWhenUsed/>
    <w:rsid w:val="00676D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436</Words>
  <Characters>2792</Characters>
  <Application>Microsoft Office Word</Application>
  <DocSecurity>0</DocSecurity>
  <Lines>77</Lines>
  <Paragraphs>62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Siegel</dc:creator>
  <cp:lastModifiedBy>Cheryl Siegel</cp:lastModifiedBy>
  <cp:revision>3</cp:revision>
  <cp:lastPrinted>2023-03-01T16:09:00Z</cp:lastPrinted>
  <dcterms:created xsi:type="dcterms:W3CDTF">2023-11-03T20:04:00Z</dcterms:created>
  <dcterms:modified xsi:type="dcterms:W3CDTF">2023-11-03T20:05:00Z</dcterms:modified>
</cp:coreProperties>
</file>