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190F25" w14:textId="77777777" w:rsidR="00DB6A2D" w:rsidRDefault="0096512E">
      <w:pPr>
        <w:spacing w:before="62"/>
        <w:ind w:left="105"/>
        <w:rPr>
          <w:rFonts w:ascii="Cambria" w:eastAsia="Cambria" w:hAnsi="Cambria" w:cs="Cambria"/>
          <w:sz w:val="24"/>
          <w:szCs w:val="24"/>
        </w:rPr>
      </w:pPr>
      <w:r>
        <w:rPr>
          <w:rFonts w:ascii="Cambria" w:eastAsia="Cambria" w:hAnsi="Cambria" w:cs="Cambria"/>
          <w:b/>
          <w:sz w:val="24"/>
          <w:szCs w:val="24"/>
          <w:u w:val="single" w:color="000000"/>
        </w:rPr>
        <w:t>Spring 2023</w:t>
      </w:r>
      <w:r w:rsidR="00DB0702">
        <w:rPr>
          <w:rFonts w:ascii="Cambria" w:eastAsia="Cambria" w:hAnsi="Cambria" w:cs="Cambria"/>
          <w:b/>
          <w:sz w:val="24"/>
          <w:szCs w:val="24"/>
          <w:u w:val="single" w:color="000000"/>
        </w:rPr>
        <w:t xml:space="preserve">   WGS. 101    Documentary Film and Gender </w:t>
      </w:r>
      <w:r w:rsidR="007A6AC5">
        <w:rPr>
          <w:rFonts w:ascii="Cambria" w:eastAsia="Cambria" w:hAnsi="Cambria" w:cs="Cambria"/>
          <w:b/>
          <w:sz w:val="24"/>
          <w:szCs w:val="24"/>
          <w:u w:val="single" w:color="000000"/>
        </w:rPr>
        <w:t xml:space="preserve">and Racial </w:t>
      </w:r>
      <w:r w:rsidR="00DB0702">
        <w:rPr>
          <w:rFonts w:ascii="Cambria" w:eastAsia="Cambria" w:hAnsi="Cambria" w:cs="Cambria"/>
          <w:b/>
          <w:sz w:val="24"/>
          <w:szCs w:val="24"/>
          <w:u w:val="single" w:color="000000"/>
        </w:rPr>
        <w:t>Equality</w:t>
      </w:r>
      <w:r w:rsidR="00DB0702">
        <w:rPr>
          <w:rFonts w:ascii="Cambria" w:eastAsia="Cambria" w:hAnsi="Cambria" w:cs="Cambria"/>
          <w:b/>
          <w:sz w:val="24"/>
          <w:szCs w:val="24"/>
        </w:rPr>
        <w:t xml:space="preserve"> </w:t>
      </w:r>
    </w:p>
    <w:p w14:paraId="5366E564" w14:textId="77777777" w:rsidR="00DB6A2D" w:rsidRDefault="00DB0702">
      <w:pPr>
        <w:spacing w:before="2"/>
        <w:ind w:left="105" w:right="242"/>
        <w:jc w:val="both"/>
        <w:rPr>
          <w:rFonts w:ascii="Cambria" w:eastAsia="Cambria" w:hAnsi="Cambria" w:cs="Cambria"/>
          <w:sz w:val="24"/>
          <w:szCs w:val="24"/>
        </w:rPr>
      </w:pPr>
      <w:r>
        <w:rPr>
          <w:rFonts w:ascii="Cambria" w:eastAsia="Cambria" w:hAnsi="Cambria" w:cs="Cambria"/>
          <w:b/>
          <w:sz w:val="24"/>
          <w:szCs w:val="24"/>
        </w:rPr>
        <w:t xml:space="preserve"> </w:t>
      </w:r>
      <w:r>
        <w:rPr>
          <w:rFonts w:ascii="Cambria" w:eastAsia="Cambria" w:hAnsi="Cambria" w:cs="Cambria"/>
          <w:sz w:val="24"/>
          <w:szCs w:val="24"/>
        </w:rPr>
        <w:t xml:space="preserve">     During the semester in WGS.101, we screen several documentaries that present historical or contemporary material.  Although each of these films aims to increase awareness of gender</w:t>
      </w:r>
      <w:r w:rsidR="00932F28">
        <w:rPr>
          <w:rFonts w:ascii="Cambria" w:eastAsia="Cambria" w:hAnsi="Cambria" w:cs="Cambria"/>
          <w:sz w:val="24"/>
          <w:szCs w:val="24"/>
        </w:rPr>
        <w:t xml:space="preserve"> and racial</w:t>
      </w:r>
      <w:r>
        <w:rPr>
          <w:rFonts w:ascii="Cambria" w:eastAsia="Cambria" w:hAnsi="Cambria" w:cs="Cambria"/>
          <w:sz w:val="24"/>
          <w:szCs w:val="24"/>
        </w:rPr>
        <w:t xml:space="preserve"> equality issues, they differ in style and approach.   </w:t>
      </w:r>
    </w:p>
    <w:p w14:paraId="2D7B1D33" w14:textId="77777777" w:rsidR="00DB6A2D" w:rsidRDefault="00DB0702" w:rsidP="00932F28">
      <w:pPr>
        <w:spacing w:before="2"/>
        <w:ind w:left="105" w:right="67"/>
        <w:rPr>
          <w:rFonts w:ascii="Cambria" w:eastAsia="Cambria" w:hAnsi="Cambria" w:cs="Cambria"/>
          <w:sz w:val="24"/>
          <w:szCs w:val="24"/>
        </w:rPr>
      </w:pPr>
      <w:r>
        <w:rPr>
          <w:rFonts w:ascii="Cambria" w:eastAsia="Cambria" w:hAnsi="Cambria" w:cs="Cambria"/>
          <w:sz w:val="24"/>
          <w:szCs w:val="24"/>
        </w:rPr>
        <w:t xml:space="preserve">         A major focus of </w:t>
      </w:r>
      <w:r w:rsidR="00932F28">
        <w:rPr>
          <w:rFonts w:ascii="Cambria" w:eastAsia="Cambria" w:hAnsi="Cambria" w:cs="Cambria"/>
          <w:sz w:val="24"/>
          <w:szCs w:val="24"/>
        </w:rPr>
        <w:t xml:space="preserve">U.S. </w:t>
      </w:r>
      <w:r>
        <w:rPr>
          <w:rFonts w:ascii="Cambria" w:eastAsia="Cambria" w:hAnsi="Cambria" w:cs="Cambria"/>
          <w:sz w:val="24"/>
          <w:szCs w:val="24"/>
        </w:rPr>
        <w:t xml:space="preserve">feminism since the 1960s has been </w:t>
      </w:r>
      <w:r w:rsidR="00A43F22">
        <w:rPr>
          <w:rFonts w:ascii="Cambria" w:eastAsia="Cambria" w:hAnsi="Cambria" w:cs="Cambria"/>
          <w:sz w:val="24"/>
          <w:szCs w:val="24"/>
        </w:rPr>
        <w:t xml:space="preserve">on </w:t>
      </w:r>
      <w:r>
        <w:rPr>
          <w:rFonts w:ascii="Cambria" w:eastAsia="Cambria" w:hAnsi="Cambria" w:cs="Cambria"/>
          <w:sz w:val="24"/>
          <w:szCs w:val="24"/>
        </w:rPr>
        <w:t>gender</w:t>
      </w:r>
      <w:r w:rsidR="00932F28">
        <w:rPr>
          <w:rFonts w:ascii="Cambria" w:eastAsia="Cambria" w:hAnsi="Cambria" w:cs="Cambria"/>
          <w:sz w:val="24"/>
          <w:szCs w:val="24"/>
        </w:rPr>
        <w:t xml:space="preserve"> and racial</w:t>
      </w:r>
      <w:r>
        <w:rPr>
          <w:rFonts w:ascii="Cambria" w:eastAsia="Cambria" w:hAnsi="Cambria" w:cs="Cambria"/>
          <w:sz w:val="24"/>
          <w:szCs w:val="24"/>
        </w:rPr>
        <w:t xml:space="preserve"> equality in media </w:t>
      </w:r>
      <w:r w:rsidR="00932F28">
        <w:rPr>
          <w:rFonts w:ascii="Cambria" w:eastAsia="Cambria" w:hAnsi="Cambria" w:cs="Cambria"/>
          <w:sz w:val="24"/>
          <w:szCs w:val="24"/>
        </w:rPr>
        <w:t xml:space="preserve">representation.  Some activists focus attention on fictional film and television, while others center their efforts on documentary representation, with its long affinity with social justice movements.  Some documentarians seek to educate the public about the history of gender and racial equality movements or individual activists or campaigns. Others aim to raise awareness of issues and/or groups that have been invisible or misrepresented.  Documentary filmmakers commonly face these major questions: </w:t>
      </w:r>
    </w:p>
    <w:p w14:paraId="671BE845" w14:textId="77777777" w:rsidR="00DB6A2D" w:rsidRDefault="00DB6A2D">
      <w:pPr>
        <w:spacing w:before="2"/>
        <w:ind w:left="105"/>
        <w:rPr>
          <w:rFonts w:ascii="Cambria" w:eastAsia="Cambria" w:hAnsi="Cambria" w:cs="Cambria"/>
          <w:sz w:val="24"/>
          <w:szCs w:val="24"/>
        </w:rPr>
      </w:pPr>
    </w:p>
    <w:p w14:paraId="34AA887E" w14:textId="77777777" w:rsidR="00DB6A2D" w:rsidRDefault="00DB0702">
      <w:pPr>
        <w:spacing w:line="260" w:lineRule="exact"/>
        <w:ind w:left="105"/>
        <w:rPr>
          <w:rFonts w:ascii="Cambria" w:eastAsia="Cambria" w:hAnsi="Cambria" w:cs="Cambria"/>
          <w:sz w:val="24"/>
          <w:szCs w:val="24"/>
        </w:rPr>
      </w:pPr>
      <w:r>
        <w:rPr>
          <w:rFonts w:ascii="Cambria" w:eastAsia="Cambria" w:hAnsi="Cambria" w:cs="Cambria"/>
          <w:sz w:val="24"/>
          <w:szCs w:val="24"/>
        </w:rPr>
        <w:t>*</w:t>
      </w:r>
      <w:r>
        <w:rPr>
          <w:rFonts w:ascii="Cambria" w:eastAsia="Cambria" w:hAnsi="Cambria" w:cs="Cambria"/>
          <w:b/>
          <w:sz w:val="24"/>
          <w:szCs w:val="24"/>
        </w:rPr>
        <w:t xml:space="preserve">What materials can I access to tell my story? How do I sequence them? </w:t>
      </w:r>
    </w:p>
    <w:p w14:paraId="0D43130F" w14:textId="77777777" w:rsidR="00DB6A2D" w:rsidRDefault="00DB0702">
      <w:pPr>
        <w:spacing w:before="2"/>
        <w:ind w:left="105" w:right="231"/>
        <w:rPr>
          <w:rFonts w:ascii="Cambria" w:eastAsia="Cambria" w:hAnsi="Cambria" w:cs="Cambria"/>
          <w:sz w:val="24"/>
          <w:szCs w:val="24"/>
        </w:rPr>
      </w:pPr>
      <w:r>
        <w:rPr>
          <w:rFonts w:ascii="Cambria" w:eastAsia="Cambria" w:hAnsi="Cambria" w:cs="Cambria"/>
          <w:sz w:val="24"/>
          <w:szCs w:val="24"/>
        </w:rPr>
        <w:t xml:space="preserve">Contemporary narratives often have the option of including film clips and current interviews while historical narratives, depending on time frame and available archival material, may not be able to include photos, film clips and current interviews. In other words, filmmakers creating documentaries on contemporary issues have the advantage of being able to create some materials, while those working on historical films often have to settle for whatever material they can find. </w:t>
      </w:r>
    </w:p>
    <w:p w14:paraId="613ECC49" w14:textId="77777777" w:rsidR="00DB6A2D" w:rsidRDefault="00DB0702">
      <w:pPr>
        <w:spacing w:before="2"/>
        <w:ind w:left="105"/>
        <w:rPr>
          <w:rFonts w:ascii="Cambria" w:eastAsia="Cambria" w:hAnsi="Cambria" w:cs="Cambria"/>
          <w:sz w:val="24"/>
          <w:szCs w:val="24"/>
        </w:rPr>
      </w:pPr>
      <w:r>
        <w:rPr>
          <w:rFonts w:ascii="Cambria" w:eastAsia="Cambria" w:hAnsi="Cambria" w:cs="Cambria"/>
          <w:sz w:val="24"/>
          <w:szCs w:val="24"/>
        </w:rPr>
        <w:t xml:space="preserve"> </w:t>
      </w:r>
    </w:p>
    <w:p w14:paraId="4130024F" w14:textId="77777777" w:rsidR="00DB6A2D" w:rsidRDefault="00DB0702">
      <w:pPr>
        <w:spacing w:line="260" w:lineRule="exact"/>
        <w:ind w:left="105"/>
        <w:rPr>
          <w:rFonts w:ascii="Cambria" w:eastAsia="Cambria" w:hAnsi="Cambria" w:cs="Cambria"/>
          <w:sz w:val="24"/>
          <w:szCs w:val="24"/>
        </w:rPr>
      </w:pPr>
      <w:r>
        <w:rPr>
          <w:rFonts w:ascii="Cambria" w:eastAsia="Cambria" w:hAnsi="Cambria" w:cs="Cambria"/>
          <w:sz w:val="24"/>
          <w:szCs w:val="24"/>
        </w:rPr>
        <w:t>*</w:t>
      </w:r>
      <w:r>
        <w:rPr>
          <w:rFonts w:ascii="Cambria" w:eastAsia="Cambria" w:hAnsi="Cambria" w:cs="Cambria"/>
          <w:b/>
          <w:sz w:val="24"/>
          <w:szCs w:val="24"/>
        </w:rPr>
        <w:t xml:space="preserve">Do I use a voice-over to provide some historical authority or context? </w:t>
      </w:r>
      <w:r>
        <w:rPr>
          <w:rFonts w:ascii="Cambria" w:eastAsia="Cambria" w:hAnsi="Cambria" w:cs="Cambria"/>
          <w:sz w:val="24"/>
          <w:szCs w:val="24"/>
        </w:rPr>
        <w:t xml:space="preserve">The </w:t>
      </w:r>
    </w:p>
    <w:p w14:paraId="69D558DA" w14:textId="77777777" w:rsidR="00DB6A2D" w:rsidRDefault="00DB0702">
      <w:pPr>
        <w:spacing w:before="2"/>
        <w:ind w:left="105" w:right="489"/>
        <w:rPr>
          <w:rFonts w:ascii="Cambria" w:eastAsia="Cambria" w:hAnsi="Cambria" w:cs="Cambria"/>
          <w:sz w:val="24"/>
          <w:szCs w:val="24"/>
        </w:rPr>
      </w:pPr>
      <w:r>
        <w:rPr>
          <w:rFonts w:ascii="Cambria" w:eastAsia="Cambria" w:hAnsi="Cambria" w:cs="Cambria"/>
          <w:sz w:val="24"/>
          <w:szCs w:val="24"/>
        </w:rPr>
        <w:t xml:space="preserve">voice-over, usually male, is a standard feature of traditional documentary, but </w:t>
      </w:r>
      <w:r w:rsidR="00932F28">
        <w:rPr>
          <w:rFonts w:ascii="Cambria" w:eastAsia="Cambria" w:hAnsi="Cambria" w:cs="Cambria"/>
          <w:sz w:val="24"/>
          <w:szCs w:val="24"/>
        </w:rPr>
        <w:t xml:space="preserve">often </w:t>
      </w:r>
      <w:r>
        <w:rPr>
          <w:rFonts w:ascii="Cambria" w:eastAsia="Cambria" w:hAnsi="Cambria" w:cs="Cambria"/>
          <w:sz w:val="24"/>
          <w:szCs w:val="24"/>
        </w:rPr>
        <w:t>communicates a sense of patriarchal authority</w:t>
      </w:r>
      <w:r w:rsidR="0096512E">
        <w:rPr>
          <w:rFonts w:ascii="Cambria" w:eastAsia="Cambria" w:hAnsi="Cambria" w:cs="Cambria"/>
          <w:sz w:val="24"/>
          <w:szCs w:val="24"/>
        </w:rPr>
        <w:t xml:space="preserve"> or the “voice of God”</w:t>
      </w:r>
      <w:r>
        <w:rPr>
          <w:rFonts w:ascii="Cambria" w:eastAsia="Cambria" w:hAnsi="Cambria" w:cs="Cambria"/>
          <w:sz w:val="24"/>
          <w:szCs w:val="24"/>
        </w:rPr>
        <w:t xml:space="preserve">. Some filmmakers argue that the voice-over, of any gender, conveys the sense of a consensual historical narrative, rather than a story with different possible interpretations. Others see the female voice-over as the achievement of a kind of narrative equality in documentary. </w:t>
      </w:r>
    </w:p>
    <w:p w14:paraId="38BEA054" w14:textId="77777777" w:rsidR="00DB6A2D" w:rsidRDefault="00DB0702">
      <w:pPr>
        <w:spacing w:before="2"/>
        <w:ind w:left="105"/>
        <w:rPr>
          <w:rFonts w:ascii="Cambria" w:eastAsia="Cambria" w:hAnsi="Cambria" w:cs="Cambria"/>
          <w:sz w:val="24"/>
          <w:szCs w:val="24"/>
        </w:rPr>
      </w:pPr>
      <w:r>
        <w:rPr>
          <w:rFonts w:ascii="Cambria" w:eastAsia="Cambria" w:hAnsi="Cambria" w:cs="Cambria"/>
          <w:sz w:val="24"/>
          <w:szCs w:val="24"/>
        </w:rPr>
        <w:t xml:space="preserve"> </w:t>
      </w:r>
    </w:p>
    <w:p w14:paraId="04197708" w14:textId="77777777" w:rsidR="00DB6A2D" w:rsidRDefault="00DB0702">
      <w:pPr>
        <w:spacing w:before="2"/>
        <w:ind w:left="105" w:right="153"/>
        <w:rPr>
          <w:rFonts w:ascii="Cambria" w:eastAsia="Cambria" w:hAnsi="Cambria" w:cs="Cambria"/>
          <w:sz w:val="24"/>
          <w:szCs w:val="24"/>
        </w:rPr>
      </w:pPr>
      <w:r>
        <w:rPr>
          <w:rFonts w:ascii="Cambria" w:eastAsia="Cambria" w:hAnsi="Cambria" w:cs="Cambria"/>
          <w:b/>
          <w:sz w:val="24"/>
          <w:szCs w:val="24"/>
        </w:rPr>
        <w:t xml:space="preserve">*Do I include historical re-creations or actors reading the work of historical figures? </w:t>
      </w:r>
      <w:r>
        <w:rPr>
          <w:rFonts w:ascii="Cambria" w:eastAsia="Cambria" w:hAnsi="Cambria" w:cs="Cambria"/>
          <w:sz w:val="24"/>
          <w:szCs w:val="24"/>
        </w:rPr>
        <w:t>This approach incorporates aspects of theater performance with documentary film.  National parks, such as the Women’s Rights National Historical Park</w:t>
      </w:r>
      <w:r w:rsidR="00932F28">
        <w:rPr>
          <w:rFonts w:ascii="Cambria" w:eastAsia="Cambria" w:hAnsi="Cambria" w:cs="Cambria"/>
          <w:sz w:val="24"/>
          <w:szCs w:val="24"/>
        </w:rPr>
        <w:t xml:space="preserve"> in Seneca Falls</w:t>
      </w:r>
      <w:r>
        <w:rPr>
          <w:rFonts w:ascii="Cambria" w:eastAsia="Cambria" w:hAnsi="Cambria" w:cs="Cambria"/>
          <w:sz w:val="24"/>
          <w:szCs w:val="24"/>
        </w:rPr>
        <w:t xml:space="preserve">, often showcase actors playing figures such as Sojourner Truth, Elizabeth Cady Stanton and Frederick Douglass; </w:t>
      </w:r>
      <w:r w:rsidR="00B90000">
        <w:rPr>
          <w:rFonts w:ascii="Cambria" w:eastAsia="Cambria" w:hAnsi="Cambria" w:cs="Cambria"/>
          <w:sz w:val="24"/>
          <w:szCs w:val="24"/>
        </w:rPr>
        <w:t xml:space="preserve">historical sites (e.g., </w:t>
      </w:r>
      <w:proofErr w:type="spellStart"/>
      <w:r w:rsidR="00B90000">
        <w:rPr>
          <w:rFonts w:ascii="Cambria" w:eastAsia="Cambria" w:hAnsi="Cambria" w:cs="Cambria"/>
          <w:sz w:val="24"/>
          <w:szCs w:val="24"/>
        </w:rPr>
        <w:t>Plimoth</w:t>
      </w:r>
      <w:proofErr w:type="spellEnd"/>
      <w:r w:rsidR="00B90000">
        <w:rPr>
          <w:rFonts w:ascii="Cambria" w:eastAsia="Cambria" w:hAnsi="Cambria" w:cs="Cambria"/>
          <w:sz w:val="24"/>
          <w:szCs w:val="24"/>
        </w:rPr>
        <w:t xml:space="preserve"> </w:t>
      </w:r>
      <w:proofErr w:type="spellStart"/>
      <w:r w:rsidR="00B90000">
        <w:rPr>
          <w:rFonts w:ascii="Cambria" w:eastAsia="Cambria" w:hAnsi="Cambria" w:cs="Cambria"/>
          <w:sz w:val="24"/>
          <w:szCs w:val="24"/>
        </w:rPr>
        <w:t>Patuxet</w:t>
      </w:r>
      <w:proofErr w:type="spellEnd"/>
      <w:r w:rsidR="00B90000">
        <w:rPr>
          <w:rFonts w:ascii="Cambria" w:eastAsia="Cambria" w:hAnsi="Cambria" w:cs="Cambria"/>
          <w:sz w:val="24"/>
          <w:szCs w:val="24"/>
        </w:rPr>
        <w:t xml:space="preserve"> Museum</w:t>
      </w:r>
      <w:r>
        <w:rPr>
          <w:rFonts w:ascii="Cambria" w:eastAsia="Cambria" w:hAnsi="Cambria" w:cs="Cambria"/>
          <w:sz w:val="24"/>
          <w:szCs w:val="24"/>
        </w:rPr>
        <w:t xml:space="preserve">) often feature actors as everyday people from earlier eras (e.g., colonial Massachusetts) and seek historical accuracy in dress, language, roles and activities.  </w:t>
      </w:r>
    </w:p>
    <w:p w14:paraId="5FF83071" w14:textId="77777777" w:rsidR="00DB6A2D" w:rsidRDefault="00DB0702">
      <w:pPr>
        <w:spacing w:before="2"/>
        <w:ind w:left="105"/>
        <w:rPr>
          <w:rFonts w:ascii="Cambria" w:eastAsia="Cambria" w:hAnsi="Cambria" w:cs="Cambria"/>
          <w:sz w:val="24"/>
          <w:szCs w:val="24"/>
        </w:rPr>
      </w:pPr>
      <w:r>
        <w:rPr>
          <w:rFonts w:ascii="Cambria" w:eastAsia="Cambria" w:hAnsi="Cambria" w:cs="Cambria"/>
          <w:b/>
          <w:sz w:val="24"/>
          <w:szCs w:val="24"/>
        </w:rPr>
        <w:t xml:space="preserve"> </w:t>
      </w:r>
    </w:p>
    <w:p w14:paraId="4F674447" w14:textId="77777777" w:rsidR="00DB6A2D" w:rsidRDefault="00DB0702">
      <w:pPr>
        <w:spacing w:before="2"/>
        <w:ind w:left="105" w:right="80"/>
        <w:rPr>
          <w:rFonts w:ascii="Cambria" w:eastAsia="Cambria" w:hAnsi="Cambria" w:cs="Cambria"/>
          <w:sz w:val="24"/>
          <w:szCs w:val="24"/>
        </w:rPr>
      </w:pPr>
      <w:r>
        <w:rPr>
          <w:rFonts w:ascii="Cambria" w:eastAsia="Cambria" w:hAnsi="Cambria" w:cs="Cambria"/>
          <w:b/>
          <w:sz w:val="24"/>
          <w:szCs w:val="24"/>
        </w:rPr>
        <w:t>*Do I feature “talking heads”(often scholars</w:t>
      </w:r>
      <w:r w:rsidR="00932F28">
        <w:rPr>
          <w:rFonts w:ascii="Cambria" w:eastAsia="Cambria" w:hAnsi="Cambria" w:cs="Cambria"/>
          <w:b/>
          <w:sz w:val="24"/>
          <w:szCs w:val="24"/>
        </w:rPr>
        <w:t>, activists</w:t>
      </w:r>
      <w:r>
        <w:rPr>
          <w:rFonts w:ascii="Cambria" w:eastAsia="Cambria" w:hAnsi="Cambria" w:cs="Cambria"/>
          <w:b/>
          <w:sz w:val="24"/>
          <w:szCs w:val="24"/>
        </w:rPr>
        <w:t xml:space="preserve"> or political leaders) for commentary, sometimes voicing different perspectives? </w:t>
      </w:r>
      <w:r>
        <w:rPr>
          <w:rFonts w:ascii="Cambria" w:eastAsia="Cambria" w:hAnsi="Cambria" w:cs="Cambria"/>
          <w:sz w:val="24"/>
          <w:szCs w:val="24"/>
        </w:rPr>
        <w:t>Scholars typically serve as consultants to documentari</w:t>
      </w:r>
      <w:r w:rsidR="00A43F22">
        <w:rPr>
          <w:rFonts w:ascii="Cambria" w:eastAsia="Cambria" w:hAnsi="Cambria" w:cs="Cambria"/>
          <w:sz w:val="24"/>
          <w:szCs w:val="24"/>
        </w:rPr>
        <w:t>es (acknowledged in credits) and</w:t>
      </w:r>
      <w:r>
        <w:rPr>
          <w:rFonts w:ascii="Cambria" w:eastAsia="Cambria" w:hAnsi="Cambria" w:cs="Cambria"/>
          <w:sz w:val="24"/>
          <w:szCs w:val="24"/>
        </w:rPr>
        <w:t xml:space="preserve"> help shape the direction of the film. Scholars and other authority figures (e.g., political leaders) may also appear in the film as “talking heads”, offering commentary and interpretation. “Talking heads” may also provide historical information in films without voice-over.  </w:t>
      </w:r>
    </w:p>
    <w:p w14:paraId="47B340D8" w14:textId="77777777" w:rsidR="00DB6A2D" w:rsidRDefault="00DB0702">
      <w:pPr>
        <w:spacing w:line="260" w:lineRule="exact"/>
        <w:ind w:left="105"/>
        <w:rPr>
          <w:rFonts w:ascii="Cambria" w:eastAsia="Cambria" w:hAnsi="Cambria" w:cs="Cambria"/>
          <w:sz w:val="24"/>
          <w:szCs w:val="24"/>
        </w:rPr>
      </w:pPr>
      <w:r>
        <w:rPr>
          <w:rFonts w:ascii="Cambria" w:eastAsia="Cambria" w:hAnsi="Cambria" w:cs="Cambria"/>
          <w:b/>
          <w:sz w:val="24"/>
          <w:szCs w:val="24"/>
        </w:rPr>
        <w:t xml:space="preserve"> </w:t>
      </w:r>
    </w:p>
    <w:p w14:paraId="42CB6B45" w14:textId="63EE5920" w:rsidR="00DB6A2D" w:rsidRDefault="00DB0702">
      <w:pPr>
        <w:spacing w:before="2"/>
        <w:ind w:left="105" w:right="500"/>
        <w:rPr>
          <w:rFonts w:ascii="Cambria" w:eastAsia="Cambria" w:hAnsi="Cambria" w:cs="Cambria"/>
          <w:sz w:val="24"/>
          <w:szCs w:val="24"/>
        </w:rPr>
      </w:pPr>
      <w:r>
        <w:rPr>
          <w:rFonts w:ascii="Cambria" w:eastAsia="Cambria" w:hAnsi="Cambria" w:cs="Cambria"/>
          <w:b/>
          <w:sz w:val="24"/>
          <w:szCs w:val="24"/>
        </w:rPr>
        <w:t>*What kinds of interview strategies are most effective for people who have been historically disempowered?</w:t>
      </w:r>
      <w:r>
        <w:rPr>
          <w:rFonts w:ascii="Cambria" w:eastAsia="Cambria" w:hAnsi="Cambria" w:cs="Cambria"/>
          <w:sz w:val="24"/>
          <w:szCs w:val="24"/>
        </w:rPr>
        <w:t xml:space="preserve"> Documentarians, like anthropologists</w:t>
      </w:r>
      <w:r w:rsidR="00475D81">
        <w:rPr>
          <w:rFonts w:ascii="Cambria" w:eastAsia="Cambria" w:hAnsi="Cambria" w:cs="Cambria"/>
          <w:sz w:val="24"/>
          <w:szCs w:val="24"/>
        </w:rPr>
        <w:t>, historians and sociologists</w:t>
      </w:r>
      <w:r>
        <w:rPr>
          <w:rFonts w:ascii="Cambria" w:eastAsia="Cambria" w:hAnsi="Cambria" w:cs="Cambria"/>
          <w:sz w:val="24"/>
          <w:szCs w:val="24"/>
        </w:rPr>
        <w:t xml:space="preserve">, must confront the question of how to interview </w:t>
      </w:r>
      <w:r w:rsidR="00475D81">
        <w:rPr>
          <w:rFonts w:ascii="Cambria" w:eastAsia="Cambria" w:hAnsi="Cambria" w:cs="Cambria"/>
          <w:sz w:val="24"/>
          <w:szCs w:val="24"/>
        </w:rPr>
        <w:t xml:space="preserve">people </w:t>
      </w:r>
      <w:r>
        <w:rPr>
          <w:rFonts w:ascii="Cambria" w:eastAsia="Cambria" w:hAnsi="Cambria" w:cs="Cambria"/>
          <w:sz w:val="24"/>
          <w:szCs w:val="24"/>
        </w:rPr>
        <w:t>in ways</w:t>
      </w:r>
      <w:r w:rsidR="00932F28">
        <w:rPr>
          <w:rFonts w:ascii="Cambria" w:eastAsia="Cambria" w:hAnsi="Cambria" w:cs="Cambria"/>
          <w:sz w:val="24"/>
          <w:szCs w:val="24"/>
        </w:rPr>
        <w:t xml:space="preserve"> that respect their autonomy,</w:t>
      </w:r>
      <w:r>
        <w:rPr>
          <w:rFonts w:ascii="Cambria" w:eastAsia="Cambria" w:hAnsi="Cambria" w:cs="Cambria"/>
          <w:sz w:val="24"/>
          <w:szCs w:val="24"/>
        </w:rPr>
        <w:t xml:space="preserve"> dignity</w:t>
      </w:r>
      <w:r w:rsidR="00932F28">
        <w:rPr>
          <w:rFonts w:ascii="Cambria" w:eastAsia="Cambria" w:hAnsi="Cambria" w:cs="Cambria"/>
          <w:sz w:val="24"/>
          <w:szCs w:val="24"/>
        </w:rPr>
        <w:t xml:space="preserve"> and the right to tell their own stories</w:t>
      </w:r>
      <w:r>
        <w:rPr>
          <w:rFonts w:ascii="Cambria" w:eastAsia="Cambria" w:hAnsi="Cambria" w:cs="Cambria"/>
          <w:sz w:val="24"/>
          <w:szCs w:val="24"/>
        </w:rPr>
        <w:t xml:space="preserve">. </w:t>
      </w:r>
    </w:p>
    <w:p w14:paraId="49DE0507" w14:textId="6573C6AA" w:rsidR="002963D3" w:rsidRDefault="002963D3">
      <w:pPr>
        <w:rPr>
          <w:rFonts w:ascii="Cambria" w:eastAsia="Cambria" w:hAnsi="Cambria" w:cs="Cambria"/>
          <w:b/>
          <w:sz w:val="24"/>
          <w:szCs w:val="24"/>
        </w:rPr>
      </w:pPr>
      <w:r>
        <w:rPr>
          <w:rFonts w:ascii="Cambria" w:eastAsia="Cambria" w:hAnsi="Cambria" w:cs="Cambria"/>
          <w:b/>
          <w:sz w:val="24"/>
          <w:szCs w:val="24"/>
        </w:rPr>
        <w:br w:type="page"/>
      </w:r>
    </w:p>
    <w:p w14:paraId="259961E5" w14:textId="77777777" w:rsidR="002963D3" w:rsidRDefault="002963D3">
      <w:pPr>
        <w:spacing w:before="2"/>
        <w:ind w:left="105" w:right="500"/>
        <w:rPr>
          <w:rFonts w:ascii="Cambria" w:eastAsia="Cambria" w:hAnsi="Cambria" w:cs="Cambria"/>
          <w:sz w:val="24"/>
          <w:szCs w:val="24"/>
        </w:rPr>
      </w:pPr>
    </w:p>
    <w:p w14:paraId="3EB356C5" w14:textId="77777777" w:rsidR="002963D3" w:rsidRPr="0065769D" w:rsidRDefault="002963D3" w:rsidP="002963D3">
      <w:pPr>
        <w:rPr>
          <w:rFonts w:ascii="Arial" w:hAnsi="Arial"/>
        </w:rPr>
      </w:pPr>
      <w:r w:rsidRPr="0065769D">
        <w:rPr>
          <w:rFonts w:ascii="Arial" w:hAnsi="Arial"/>
        </w:rPr>
        <w:t>MIT OpenCourseWare</w:t>
      </w:r>
    </w:p>
    <w:p w14:paraId="0114A01B" w14:textId="77777777" w:rsidR="002963D3" w:rsidRPr="0065769D" w:rsidRDefault="002963D3" w:rsidP="002963D3">
      <w:pPr>
        <w:rPr>
          <w:rFonts w:ascii="Arial" w:hAnsi="Arial"/>
        </w:rPr>
      </w:pPr>
      <w:hyperlink r:id="rId7" w:history="1">
        <w:r w:rsidRPr="006F3AD2">
          <w:rPr>
            <w:rStyle w:val="Hyperlink"/>
            <w:rFonts w:ascii="Arial" w:eastAsiaTheme="majorEastAsia" w:hAnsi="Arial"/>
          </w:rPr>
          <w:t>https://ocw.mit.edu/</w:t>
        </w:r>
      </w:hyperlink>
    </w:p>
    <w:p w14:paraId="0F4EEBCD" w14:textId="77777777" w:rsidR="002963D3" w:rsidRPr="0065769D" w:rsidRDefault="002963D3" w:rsidP="002963D3">
      <w:pPr>
        <w:rPr>
          <w:rFonts w:ascii="Arial" w:hAnsi="Arial"/>
        </w:rPr>
      </w:pPr>
    </w:p>
    <w:p w14:paraId="61B8CF98" w14:textId="77777777" w:rsidR="002963D3" w:rsidRPr="0065769D" w:rsidRDefault="002963D3" w:rsidP="002963D3">
      <w:pPr>
        <w:rPr>
          <w:rFonts w:ascii="Arial" w:hAnsi="Arial"/>
        </w:rPr>
      </w:pPr>
    </w:p>
    <w:p w14:paraId="0A00E170" w14:textId="77777777" w:rsidR="002963D3" w:rsidRPr="0065769D" w:rsidRDefault="002963D3" w:rsidP="002963D3">
      <w:pPr>
        <w:rPr>
          <w:rFonts w:ascii="Arial" w:hAnsi="Arial"/>
        </w:rPr>
      </w:pPr>
    </w:p>
    <w:p w14:paraId="5ED52DFF" w14:textId="77777777" w:rsidR="002963D3" w:rsidRPr="0065769D" w:rsidRDefault="002963D3" w:rsidP="002963D3">
      <w:pPr>
        <w:rPr>
          <w:rFonts w:ascii="Arial" w:hAnsi="Arial"/>
        </w:rPr>
      </w:pPr>
      <w:r>
        <w:rPr>
          <w:rFonts w:ascii="Arial" w:hAnsi="Arial"/>
        </w:rPr>
        <w:t>WGS.101 Introduction to Women’s and Gender Studies</w:t>
      </w:r>
    </w:p>
    <w:p w14:paraId="33528533" w14:textId="77777777" w:rsidR="002963D3" w:rsidRPr="0065769D" w:rsidRDefault="002963D3" w:rsidP="002963D3">
      <w:pPr>
        <w:rPr>
          <w:rFonts w:ascii="Arial" w:hAnsi="Arial"/>
        </w:rPr>
      </w:pPr>
      <w:r w:rsidRPr="0065769D">
        <w:rPr>
          <w:rFonts w:ascii="Arial" w:hAnsi="Arial"/>
        </w:rPr>
        <w:t>Spring 20</w:t>
      </w:r>
      <w:r>
        <w:rPr>
          <w:rFonts w:ascii="Arial" w:hAnsi="Arial"/>
        </w:rPr>
        <w:t>23</w:t>
      </w:r>
    </w:p>
    <w:p w14:paraId="7FCCCF23" w14:textId="77777777" w:rsidR="002963D3" w:rsidRPr="0065769D" w:rsidRDefault="002963D3" w:rsidP="002963D3">
      <w:pPr>
        <w:rPr>
          <w:rFonts w:ascii="Arial" w:hAnsi="Arial"/>
        </w:rPr>
      </w:pPr>
    </w:p>
    <w:p w14:paraId="6F337B35" w14:textId="77777777" w:rsidR="002963D3" w:rsidRPr="0065769D" w:rsidRDefault="002963D3" w:rsidP="002963D3">
      <w:pPr>
        <w:rPr>
          <w:rFonts w:ascii="Arial" w:hAnsi="Arial"/>
        </w:rPr>
      </w:pPr>
    </w:p>
    <w:p w14:paraId="250A8615" w14:textId="77777777" w:rsidR="002963D3" w:rsidRPr="0065769D" w:rsidRDefault="002963D3" w:rsidP="002963D3">
      <w:pPr>
        <w:rPr>
          <w:rFonts w:ascii="Arial" w:hAnsi="Arial"/>
        </w:rPr>
      </w:pPr>
    </w:p>
    <w:p w14:paraId="1FC6A7C7" w14:textId="77777777" w:rsidR="002963D3" w:rsidRPr="0065769D" w:rsidRDefault="002963D3" w:rsidP="002963D3">
      <w:pPr>
        <w:rPr>
          <w:rFonts w:ascii="Arial" w:hAnsi="Arial"/>
        </w:rPr>
      </w:pPr>
      <w:r w:rsidRPr="0065769D">
        <w:rPr>
          <w:rFonts w:ascii="Arial" w:hAnsi="Arial"/>
        </w:rPr>
        <w:t xml:space="preserve">For information about citing these materials or our Terms of Use, visit: </w:t>
      </w:r>
      <w:hyperlink r:id="rId8" w:history="1">
        <w:r w:rsidRPr="006F3AD2">
          <w:rPr>
            <w:rStyle w:val="Hyperlink"/>
            <w:rFonts w:ascii="Arial" w:eastAsiaTheme="majorEastAsia" w:hAnsi="Arial"/>
          </w:rPr>
          <w:t>https://ocw.mit.edu/terms</w:t>
        </w:r>
      </w:hyperlink>
      <w:r w:rsidRPr="0065769D">
        <w:rPr>
          <w:rFonts w:ascii="Arial" w:hAnsi="Arial"/>
        </w:rPr>
        <w:t xml:space="preserve">. </w:t>
      </w:r>
    </w:p>
    <w:p w14:paraId="284C212C" w14:textId="77777777" w:rsidR="002963D3" w:rsidRDefault="002963D3">
      <w:pPr>
        <w:spacing w:before="2"/>
        <w:ind w:left="105" w:right="500"/>
        <w:rPr>
          <w:rFonts w:ascii="Cambria" w:eastAsia="Cambria" w:hAnsi="Cambria" w:cs="Cambria"/>
          <w:sz w:val="24"/>
          <w:szCs w:val="24"/>
        </w:rPr>
      </w:pPr>
    </w:p>
    <w:sectPr w:rsidR="002963D3" w:rsidSect="002963D3">
      <w:footerReference w:type="default" r:id="rId9"/>
      <w:type w:val="continuous"/>
      <w:pgSz w:w="12240" w:h="15840"/>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30065" w14:textId="77777777" w:rsidR="00FB4C65" w:rsidRDefault="00FB4C65" w:rsidP="002963D3">
      <w:r>
        <w:separator/>
      </w:r>
    </w:p>
  </w:endnote>
  <w:endnote w:type="continuationSeparator" w:id="0">
    <w:p w14:paraId="6963860F" w14:textId="77777777" w:rsidR="00FB4C65" w:rsidRDefault="00FB4C65" w:rsidP="00296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9782669"/>
      <w:docPartObj>
        <w:docPartGallery w:val="Page Numbers (Bottom of Page)"/>
        <w:docPartUnique/>
      </w:docPartObj>
    </w:sdtPr>
    <w:sdtEndPr>
      <w:rPr>
        <w:noProof/>
      </w:rPr>
    </w:sdtEndPr>
    <w:sdtContent>
      <w:p w14:paraId="14D9E9DB" w14:textId="53167114" w:rsidR="002963D3" w:rsidRDefault="002963D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EA3C5E4" w14:textId="77777777" w:rsidR="002963D3" w:rsidRDefault="002963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12CB0" w14:textId="77777777" w:rsidR="00FB4C65" w:rsidRDefault="00FB4C65" w:rsidP="002963D3">
      <w:r>
        <w:separator/>
      </w:r>
    </w:p>
  </w:footnote>
  <w:footnote w:type="continuationSeparator" w:id="0">
    <w:p w14:paraId="59C8780C" w14:textId="77777777" w:rsidR="00FB4C65" w:rsidRDefault="00FB4C65" w:rsidP="002963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187B42"/>
    <w:multiLevelType w:val="multilevel"/>
    <w:tmpl w:val="B2CA7BA2"/>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A2D"/>
    <w:rsid w:val="00061060"/>
    <w:rsid w:val="001145D1"/>
    <w:rsid w:val="002963D3"/>
    <w:rsid w:val="0036278F"/>
    <w:rsid w:val="00475D81"/>
    <w:rsid w:val="005C69ED"/>
    <w:rsid w:val="007A6AC5"/>
    <w:rsid w:val="00866DDA"/>
    <w:rsid w:val="00932F28"/>
    <w:rsid w:val="0096512E"/>
    <w:rsid w:val="00A43F22"/>
    <w:rsid w:val="00B90000"/>
    <w:rsid w:val="00DB0702"/>
    <w:rsid w:val="00DB6A2D"/>
    <w:rsid w:val="00EA4C30"/>
    <w:rsid w:val="00FB4C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7D5CED"/>
  <w15:docId w15:val="{CDED1816-2117-4018-994A-6DFED8259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character" w:styleId="Hyperlink">
    <w:name w:val="Hyperlink"/>
    <w:rsid w:val="002963D3"/>
    <w:rPr>
      <w:color w:val="0000FF"/>
      <w:u w:val="single"/>
    </w:rPr>
  </w:style>
  <w:style w:type="paragraph" w:styleId="Header">
    <w:name w:val="header"/>
    <w:basedOn w:val="Normal"/>
    <w:link w:val="HeaderChar"/>
    <w:uiPriority w:val="99"/>
    <w:unhideWhenUsed/>
    <w:rsid w:val="002963D3"/>
    <w:pPr>
      <w:tabs>
        <w:tab w:val="center" w:pos="4680"/>
        <w:tab w:val="right" w:pos="9360"/>
      </w:tabs>
    </w:pPr>
  </w:style>
  <w:style w:type="character" w:customStyle="1" w:styleId="HeaderChar">
    <w:name w:val="Header Char"/>
    <w:basedOn w:val="DefaultParagraphFont"/>
    <w:link w:val="Header"/>
    <w:uiPriority w:val="99"/>
    <w:rsid w:val="002963D3"/>
  </w:style>
  <w:style w:type="paragraph" w:styleId="Footer">
    <w:name w:val="footer"/>
    <w:basedOn w:val="Normal"/>
    <w:link w:val="FooterChar"/>
    <w:uiPriority w:val="99"/>
    <w:unhideWhenUsed/>
    <w:rsid w:val="002963D3"/>
    <w:pPr>
      <w:tabs>
        <w:tab w:val="center" w:pos="4680"/>
        <w:tab w:val="right" w:pos="9360"/>
      </w:tabs>
    </w:pPr>
  </w:style>
  <w:style w:type="character" w:customStyle="1" w:styleId="FooterChar">
    <w:name w:val="Footer Char"/>
    <w:basedOn w:val="DefaultParagraphFont"/>
    <w:link w:val="Footer"/>
    <w:uiPriority w:val="99"/>
    <w:rsid w:val="002963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ocw.mit.edu/terms" TargetMode="External"/><Relationship Id="rId3" Type="http://schemas.openxmlformats.org/officeDocument/2006/relationships/settings" Target="settings.xml"/><Relationship Id="rId7" Type="http://schemas.openxmlformats.org/officeDocument/2006/relationships/hyperlink" Target="https://ocw.mit.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547</Words>
  <Characters>3140</Characters>
  <Application>Microsoft Office Word</Application>
  <DocSecurity>0</DocSecurity>
  <Lines>92</Lines>
  <Paragraphs>61</Paragraphs>
  <ScaleCrop>false</ScaleCrop>
  <Company/>
  <LinksUpToDate>false</LinksUpToDate>
  <CharactersWithSpaces>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 Siegel</dc:creator>
  <cp:lastModifiedBy>Cheryl Siegel</cp:lastModifiedBy>
  <cp:revision>2</cp:revision>
  <cp:lastPrinted>2022-02-14T16:25:00Z</cp:lastPrinted>
  <dcterms:created xsi:type="dcterms:W3CDTF">2023-11-09T20:21:00Z</dcterms:created>
  <dcterms:modified xsi:type="dcterms:W3CDTF">2023-11-09T20:21:00Z</dcterms:modified>
</cp:coreProperties>
</file>