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391195" w14:textId="2A29896D" w:rsidR="00940D1B" w:rsidRDefault="00B77EBE" w:rsidP="00FA6E16">
      <w:pPr>
        <w:spacing w:before="61" w:line="260" w:lineRule="exact"/>
        <w:rPr>
          <w:sz w:val="24"/>
          <w:szCs w:val="24"/>
        </w:rPr>
      </w:pPr>
      <w:r>
        <w:rPr>
          <w:b/>
          <w:position w:val="-1"/>
          <w:sz w:val="24"/>
          <w:szCs w:val="24"/>
          <w:u w:val="single" w:color="000000"/>
        </w:rPr>
        <w:t xml:space="preserve">WGS. 101 </w:t>
      </w:r>
      <w:r w:rsidR="00716F67">
        <w:rPr>
          <w:b/>
          <w:position w:val="-1"/>
          <w:sz w:val="24"/>
          <w:szCs w:val="24"/>
          <w:u w:val="single" w:color="000000"/>
        </w:rPr>
        <w:t xml:space="preserve">    Spring 2023</w:t>
      </w:r>
      <w:r w:rsidR="00A15723">
        <w:rPr>
          <w:b/>
          <w:position w:val="-1"/>
          <w:sz w:val="24"/>
          <w:szCs w:val="24"/>
          <w:u w:val="single" w:color="000000"/>
        </w:rPr>
        <w:t xml:space="preserve"> </w:t>
      </w:r>
      <w:r w:rsidR="007B5DB7">
        <w:rPr>
          <w:b/>
          <w:position w:val="-1"/>
          <w:sz w:val="24"/>
          <w:szCs w:val="24"/>
          <w:u w:val="single" w:color="000000"/>
        </w:rPr>
        <w:t xml:space="preserve">  </w:t>
      </w:r>
      <w:r w:rsidR="00A15723">
        <w:rPr>
          <w:b/>
          <w:position w:val="-1"/>
          <w:sz w:val="24"/>
          <w:szCs w:val="24"/>
          <w:u w:val="single" w:color="000000"/>
        </w:rPr>
        <w:t xml:space="preserve">        </w:t>
      </w:r>
    </w:p>
    <w:p w14:paraId="10C9DE65" w14:textId="589D0917" w:rsidR="00940D1B" w:rsidRDefault="00716F67">
      <w:pPr>
        <w:spacing w:before="29" w:line="260" w:lineRule="exact"/>
        <w:ind w:left="105"/>
        <w:rPr>
          <w:sz w:val="24"/>
          <w:szCs w:val="24"/>
        </w:rPr>
      </w:pPr>
      <w:r>
        <w:rPr>
          <w:b/>
          <w:position w:val="-1"/>
          <w:sz w:val="24"/>
          <w:szCs w:val="24"/>
          <w:u w:val="single" w:color="000000"/>
        </w:rPr>
        <w:t xml:space="preserve">Homework for </w:t>
      </w:r>
      <w:r w:rsidR="008E3643">
        <w:rPr>
          <w:b/>
          <w:position w:val="-1"/>
          <w:sz w:val="24"/>
          <w:szCs w:val="24"/>
          <w:u w:val="single" w:color="000000"/>
        </w:rPr>
        <w:t>Class 19</w:t>
      </w:r>
      <w:r w:rsidR="00A15723">
        <w:rPr>
          <w:b/>
          <w:position w:val="-1"/>
          <w:sz w:val="24"/>
          <w:szCs w:val="24"/>
          <w:u w:val="single" w:color="000000"/>
        </w:rPr>
        <w:t xml:space="preserve">: Questions on </w:t>
      </w:r>
      <w:r w:rsidR="00A15723">
        <w:rPr>
          <w:b/>
          <w:i/>
          <w:position w:val="-1"/>
          <w:sz w:val="24"/>
          <w:szCs w:val="24"/>
          <w:u w:val="single" w:color="000000"/>
        </w:rPr>
        <w:t xml:space="preserve">Ma Vie En </w:t>
      </w:r>
      <w:r w:rsidR="00E67579">
        <w:rPr>
          <w:b/>
          <w:i/>
          <w:position w:val="-1"/>
          <w:sz w:val="24"/>
          <w:szCs w:val="24"/>
          <w:u w:val="single" w:color="000000"/>
        </w:rPr>
        <w:t>Rose</w:t>
      </w:r>
    </w:p>
    <w:p w14:paraId="2B658AB4" w14:textId="77777777" w:rsidR="00940D1B" w:rsidRDefault="00940D1B">
      <w:pPr>
        <w:spacing w:before="12" w:line="240" w:lineRule="exact"/>
        <w:rPr>
          <w:sz w:val="24"/>
          <w:szCs w:val="24"/>
        </w:rPr>
      </w:pPr>
    </w:p>
    <w:p w14:paraId="7186F633" w14:textId="1B72AFC5" w:rsidR="00940D1B" w:rsidRDefault="007F23AE">
      <w:pPr>
        <w:spacing w:before="29"/>
        <w:ind w:left="105"/>
        <w:rPr>
          <w:sz w:val="24"/>
          <w:szCs w:val="24"/>
        </w:rPr>
      </w:pPr>
      <w:r>
        <w:rPr>
          <w:b/>
          <w:sz w:val="24"/>
          <w:szCs w:val="24"/>
          <w:u w:val="single" w:color="000000"/>
        </w:rPr>
        <w:t>Screen</w:t>
      </w:r>
      <w:r w:rsidR="00A15723">
        <w:rPr>
          <w:b/>
          <w:sz w:val="24"/>
          <w:szCs w:val="24"/>
          <w:u w:val="single" w:color="000000"/>
        </w:rPr>
        <w:t xml:space="preserve">: </w:t>
      </w:r>
      <w:r w:rsidR="00A15723">
        <w:rPr>
          <w:b/>
          <w:i/>
          <w:sz w:val="24"/>
          <w:szCs w:val="24"/>
          <w:u w:val="single" w:color="000000"/>
        </w:rPr>
        <w:t xml:space="preserve">Ma Vie </w:t>
      </w:r>
      <w:proofErr w:type="spellStart"/>
      <w:r w:rsidR="00A15723">
        <w:rPr>
          <w:b/>
          <w:i/>
          <w:sz w:val="24"/>
          <w:szCs w:val="24"/>
          <w:u w:val="single" w:color="000000"/>
        </w:rPr>
        <w:t>En</w:t>
      </w:r>
      <w:proofErr w:type="spellEnd"/>
      <w:r w:rsidR="00A15723">
        <w:rPr>
          <w:b/>
          <w:i/>
          <w:sz w:val="24"/>
          <w:szCs w:val="24"/>
          <w:u w:val="single" w:color="000000"/>
        </w:rPr>
        <w:t xml:space="preserve"> Rose </w:t>
      </w:r>
      <w:r w:rsidR="00A15723">
        <w:rPr>
          <w:sz w:val="24"/>
          <w:szCs w:val="24"/>
          <w:u w:val="single" w:color="000000"/>
        </w:rPr>
        <w:t>(Alain Berliner, 1997)</w:t>
      </w:r>
      <w:r w:rsidR="00A15723">
        <w:rPr>
          <w:sz w:val="24"/>
          <w:szCs w:val="24"/>
        </w:rPr>
        <w:t>. In French with English subtitles.</w:t>
      </w:r>
    </w:p>
    <w:p w14:paraId="61A0086C" w14:textId="77777777" w:rsidR="00940D1B" w:rsidRDefault="00A15723">
      <w:pPr>
        <w:spacing w:line="260" w:lineRule="exact"/>
        <w:ind w:left="105"/>
        <w:rPr>
          <w:sz w:val="24"/>
          <w:szCs w:val="24"/>
        </w:rPr>
      </w:pPr>
      <w:r>
        <w:rPr>
          <w:b/>
          <w:sz w:val="24"/>
          <w:szCs w:val="24"/>
          <w:u w:val="single" w:color="000000"/>
        </w:rPr>
        <w:t xml:space="preserve">Awards: </w:t>
      </w:r>
      <w:r>
        <w:rPr>
          <w:b/>
          <w:sz w:val="24"/>
          <w:szCs w:val="24"/>
        </w:rPr>
        <w:t xml:space="preserve"> </w:t>
      </w:r>
      <w:r>
        <w:rPr>
          <w:sz w:val="24"/>
          <w:szCs w:val="24"/>
        </w:rPr>
        <w:t>Golden Globe (U.S., 1998)- Best Foreign Film</w:t>
      </w:r>
    </w:p>
    <w:p w14:paraId="537007DA" w14:textId="77777777" w:rsidR="00940D1B" w:rsidRDefault="00A15723">
      <w:pPr>
        <w:spacing w:before="2"/>
        <w:ind w:left="1125" w:right="276"/>
        <w:rPr>
          <w:sz w:val="24"/>
          <w:szCs w:val="24"/>
        </w:rPr>
      </w:pPr>
      <w:r>
        <w:rPr>
          <w:sz w:val="24"/>
          <w:szCs w:val="24"/>
        </w:rPr>
        <w:t>Cesar Awards (France, 1998)- Best First Work- Alain Berliner, Director European Film Awards (1997)- Best Screenwriter- Berliner, Vander Stappen Film Critics Australia (1998)- Best Foreign Language Film</w:t>
      </w:r>
    </w:p>
    <w:p w14:paraId="0BEA1043" w14:textId="77777777" w:rsidR="00940D1B" w:rsidRDefault="00940D1B">
      <w:pPr>
        <w:spacing w:before="17" w:line="260" w:lineRule="exact"/>
        <w:rPr>
          <w:sz w:val="26"/>
          <w:szCs w:val="26"/>
        </w:rPr>
      </w:pPr>
    </w:p>
    <w:p w14:paraId="2D7E9A8E" w14:textId="77777777" w:rsidR="00940D1B" w:rsidRDefault="00B77EBE">
      <w:pPr>
        <w:ind w:left="105" w:right="149" w:firstLine="300"/>
        <w:rPr>
          <w:sz w:val="24"/>
          <w:szCs w:val="24"/>
        </w:rPr>
      </w:pPr>
      <w:r>
        <w:rPr>
          <w:i/>
          <w:sz w:val="24"/>
          <w:szCs w:val="24"/>
        </w:rPr>
        <w:t xml:space="preserve"> </w:t>
      </w:r>
      <w:r w:rsidR="00A15723">
        <w:rPr>
          <w:i/>
          <w:sz w:val="24"/>
          <w:szCs w:val="24"/>
        </w:rPr>
        <w:t xml:space="preserve">Ma Vie En Rose (My Life in Pink) </w:t>
      </w:r>
      <w:r w:rsidR="00A15723">
        <w:rPr>
          <w:sz w:val="24"/>
          <w:szCs w:val="24"/>
        </w:rPr>
        <w:t>has bee</w:t>
      </w:r>
      <w:r w:rsidR="00EC244D">
        <w:rPr>
          <w:sz w:val="24"/>
          <w:szCs w:val="24"/>
        </w:rPr>
        <w:t>n alternately called a “</w:t>
      </w:r>
      <w:r w:rsidR="00491B4F">
        <w:rPr>
          <w:sz w:val="24"/>
          <w:szCs w:val="24"/>
        </w:rPr>
        <w:t>drama”, “comedy</w:t>
      </w:r>
      <w:r w:rsidR="00A15723">
        <w:rPr>
          <w:sz w:val="24"/>
          <w:szCs w:val="24"/>
        </w:rPr>
        <w:t>” and “satire” by film critics. Released in 1997, this feature film enters the world of Ludovic Fabre, a seven-year-old living in a suburb in Belgiu</w:t>
      </w:r>
      <w:r w:rsidR="00EC244D">
        <w:rPr>
          <w:sz w:val="24"/>
          <w:szCs w:val="24"/>
        </w:rPr>
        <w:t xml:space="preserve">m. Ludovic’s fantasy world, of  </w:t>
      </w:r>
      <w:r w:rsidR="00A15723">
        <w:rPr>
          <w:sz w:val="24"/>
          <w:szCs w:val="24"/>
        </w:rPr>
        <w:t>“Barbie” and “Ken”-like television characters, Pam and Ben, who inhabit a</w:t>
      </w:r>
    </w:p>
    <w:p w14:paraId="6CFC069C" w14:textId="77777777" w:rsidR="00940D1B" w:rsidRDefault="00A15723">
      <w:pPr>
        <w:spacing w:before="2"/>
        <w:ind w:left="105" w:right="103"/>
        <w:rPr>
          <w:sz w:val="24"/>
          <w:szCs w:val="24"/>
        </w:rPr>
      </w:pPr>
      <w:r>
        <w:rPr>
          <w:sz w:val="24"/>
          <w:szCs w:val="24"/>
        </w:rPr>
        <w:t>welcoming imaginary universe, contrasts with the real world, in which Ludo’s identity as a “girlboy” (in Ludo’s words) often causes significant conflict at home, at school and in the neighborhood.</w:t>
      </w:r>
    </w:p>
    <w:p w14:paraId="1B968463" w14:textId="77777777" w:rsidR="00940D1B" w:rsidRDefault="00940D1B">
      <w:pPr>
        <w:spacing w:before="16" w:line="260" w:lineRule="exact"/>
        <w:rPr>
          <w:sz w:val="26"/>
          <w:szCs w:val="26"/>
        </w:rPr>
      </w:pPr>
    </w:p>
    <w:p w14:paraId="78618B39" w14:textId="0638CC10" w:rsidR="00940D1B" w:rsidRDefault="00A15723">
      <w:pPr>
        <w:ind w:left="105"/>
        <w:rPr>
          <w:sz w:val="24"/>
          <w:szCs w:val="24"/>
        </w:rPr>
      </w:pPr>
      <w:r>
        <w:rPr>
          <w:sz w:val="24"/>
          <w:szCs w:val="24"/>
        </w:rPr>
        <w:t xml:space="preserve">Questions on </w:t>
      </w:r>
      <w:r>
        <w:rPr>
          <w:b/>
          <w:i/>
          <w:sz w:val="24"/>
          <w:szCs w:val="24"/>
        </w:rPr>
        <w:t>Ma Vie En Rose</w:t>
      </w:r>
      <w:r w:rsidR="00716F67">
        <w:rPr>
          <w:b/>
          <w:sz w:val="24"/>
          <w:szCs w:val="24"/>
        </w:rPr>
        <w:t xml:space="preserve">: Due </w:t>
      </w:r>
      <w:r w:rsidR="008E3643">
        <w:rPr>
          <w:b/>
          <w:sz w:val="24"/>
          <w:szCs w:val="24"/>
        </w:rPr>
        <w:t>Class 19</w:t>
      </w:r>
      <w:r>
        <w:rPr>
          <w:b/>
          <w:sz w:val="24"/>
          <w:szCs w:val="24"/>
        </w:rPr>
        <w:t xml:space="preserve"> </w:t>
      </w:r>
      <w:r>
        <w:rPr>
          <w:sz w:val="24"/>
          <w:szCs w:val="24"/>
        </w:rPr>
        <w:t>(one to one and a half pages)</w:t>
      </w:r>
    </w:p>
    <w:p w14:paraId="512711ED" w14:textId="32F73761" w:rsidR="00940D1B" w:rsidRDefault="007B5DB7">
      <w:pPr>
        <w:spacing w:line="260" w:lineRule="exact"/>
        <w:ind w:left="105"/>
        <w:rPr>
          <w:sz w:val="24"/>
          <w:szCs w:val="24"/>
        </w:rPr>
      </w:pPr>
      <w:r>
        <w:rPr>
          <w:sz w:val="24"/>
          <w:szCs w:val="24"/>
        </w:rPr>
        <w:t>Write about THREE</w:t>
      </w:r>
      <w:r w:rsidR="00A15723">
        <w:rPr>
          <w:sz w:val="24"/>
          <w:szCs w:val="24"/>
        </w:rPr>
        <w:t xml:space="preserve"> questions: Question </w:t>
      </w:r>
      <w:r w:rsidR="00716F67">
        <w:rPr>
          <w:sz w:val="24"/>
          <w:szCs w:val="24"/>
        </w:rPr>
        <w:t xml:space="preserve">2, </w:t>
      </w:r>
      <w:r w:rsidR="00A15723">
        <w:rPr>
          <w:sz w:val="24"/>
          <w:szCs w:val="24"/>
        </w:rPr>
        <w:t>3</w:t>
      </w:r>
      <w:r>
        <w:rPr>
          <w:sz w:val="24"/>
          <w:szCs w:val="24"/>
        </w:rPr>
        <w:t>, 5</w:t>
      </w:r>
      <w:r w:rsidR="00A15723">
        <w:rPr>
          <w:sz w:val="24"/>
          <w:szCs w:val="24"/>
        </w:rPr>
        <w:t xml:space="preserve"> and at least 1 other. We will discuss all</w:t>
      </w:r>
    </w:p>
    <w:p w14:paraId="62E793A0" w14:textId="77777777" w:rsidR="00940D1B" w:rsidRDefault="00A15723">
      <w:pPr>
        <w:spacing w:before="2"/>
        <w:ind w:left="105"/>
        <w:rPr>
          <w:sz w:val="24"/>
          <w:szCs w:val="24"/>
        </w:rPr>
      </w:pPr>
      <w:r>
        <w:rPr>
          <w:sz w:val="24"/>
          <w:szCs w:val="24"/>
        </w:rPr>
        <w:t>questions in class.</w:t>
      </w:r>
    </w:p>
    <w:p w14:paraId="69175BDB" w14:textId="77777777" w:rsidR="00940D1B" w:rsidRDefault="00940D1B">
      <w:pPr>
        <w:spacing w:before="1" w:line="280" w:lineRule="exact"/>
        <w:rPr>
          <w:sz w:val="28"/>
          <w:szCs w:val="28"/>
        </w:rPr>
      </w:pPr>
    </w:p>
    <w:p w14:paraId="402BCEA1" w14:textId="77777777" w:rsidR="00940D1B" w:rsidRDefault="00A15723">
      <w:pPr>
        <w:spacing w:line="260" w:lineRule="exact"/>
        <w:ind w:left="105" w:right="610" w:firstLine="360"/>
        <w:rPr>
          <w:sz w:val="24"/>
          <w:szCs w:val="24"/>
        </w:rPr>
      </w:pPr>
      <w:r>
        <w:rPr>
          <w:sz w:val="24"/>
          <w:szCs w:val="24"/>
        </w:rPr>
        <w:t>1. What is the meaning of the first (“establishing”) scene at Ludo’s home? What visual details are especially important in this scene?</w:t>
      </w:r>
    </w:p>
    <w:p w14:paraId="6BA2C9CE" w14:textId="77777777" w:rsidR="00940D1B" w:rsidRDefault="00940D1B">
      <w:pPr>
        <w:spacing w:before="13" w:line="260" w:lineRule="exact"/>
        <w:rPr>
          <w:sz w:val="26"/>
          <w:szCs w:val="26"/>
        </w:rPr>
      </w:pPr>
    </w:p>
    <w:p w14:paraId="5F24E370" w14:textId="77777777" w:rsidR="00940D1B" w:rsidRDefault="00A15723">
      <w:pPr>
        <w:ind w:left="465" w:right="490"/>
        <w:rPr>
          <w:sz w:val="24"/>
          <w:szCs w:val="24"/>
        </w:rPr>
      </w:pPr>
      <w:r>
        <w:rPr>
          <w:sz w:val="24"/>
          <w:szCs w:val="24"/>
        </w:rPr>
        <w:t>2.Which other two or three scenes seem especially powerful in presenting Ludo’s sense of self as female? What attitude does film director Alain Berliner seem to express about Ludo’s dressing and acting as female?</w:t>
      </w:r>
    </w:p>
    <w:p w14:paraId="2536266B" w14:textId="77777777" w:rsidR="00940D1B" w:rsidRDefault="00940D1B">
      <w:pPr>
        <w:spacing w:before="16" w:line="260" w:lineRule="exact"/>
        <w:rPr>
          <w:sz w:val="26"/>
          <w:szCs w:val="26"/>
        </w:rPr>
      </w:pPr>
    </w:p>
    <w:p w14:paraId="296C8B79" w14:textId="77777777" w:rsidR="00940D1B" w:rsidRDefault="00A15723">
      <w:pPr>
        <w:ind w:left="465"/>
        <w:rPr>
          <w:sz w:val="24"/>
          <w:szCs w:val="24"/>
        </w:rPr>
      </w:pPr>
      <w:r>
        <w:rPr>
          <w:sz w:val="24"/>
          <w:szCs w:val="24"/>
        </w:rPr>
        <w:t>3.   How does Ludo explain being a “girlboy”--from a child’s perspective?</w:t>
      </w:r>
    </w:p>
    <w:p w14:paraId="442F6810" w14:textId="762F367E" w:rsidR="00940D1B" w:rsidRDefault="00A15723">
      <w:pPr>
        <w:spacing w:before="7" w:line="260" w:lineRule="exact"/>
        <w:ind w:left="825" w:right="516" w:hanging="240"/>
        <w:rPr>
          <w:sz w:val="24"/>
          <w:szCs w:val="24"/>
        </w:rPr>
      </w:pPr>
      <w:r>
        <w:rPr>
          <w:sz w:val="24"/>
          <w:szCs w:val="24"/>
        </w:rPr>
        <w:t xml:space="preserve">.   In what ways does this film </w:t>
      </w:r>
      <w:r w:rsidR="007F23AE">
        <w:rPr>
          <w:sz w:val="24"/>
          <w:szCs w:val="24"/>
        </w:rPr>
        <w:t>connect to Phyllis Fry reading</w:t>
      </w:r>
      <w:r>
        <w:rPr>
          <w:sz w:val="24"/>
          <w:szCs w:val="24"/>
        </w:rPr>
        <w:t xml:space="preserve"> and more generally, to class discussions of sex and gender?</w:t>
      </w:r>
    </w:p>
    <w:p w14:paraId="69B8161C" w14:textId="77777777" w:rsidR="00940D1B" w:rsidRDefault="00940D1B">
      <w:pPr>
        <w:spacing w:before="13" w:line="260" w:lineRule="exact"/>
        <w:rPr>
          <w:sz w:val="26"/>
          <w:szCs w:val="26"/>
        </w:rPr>
      </w:pPr>
    </w:p>
    <w:p w14:paraId="56352A61" w14:textId="77777777" w:rsidR="00940D1B" w:rsidRDefault="00A15723">
      <w:pPr>
        <w:ind w:left="465"/>
        <w:rPr>
          <w:sz w:val="24"/>
          <w:szCs w:val="24"/>
        </w:rPr>
      </w:pPr>
      <w:r>
        <w:rPr>
          <w:sz w:val="24"/>
          <w:szCs w:val="24"/>
        </w:rPr>
        <w:t>4.    How do the fantasy sequences contribute to developing Ludo as a character?</w:t>
      </w:r>
    </w:p>
    <w:p w14:paraId="50A7AEE4" w14:textId="77777777" w:rsidR="00940D1B" w:rsidRDefault="00A15723">
      <w:pPr>
        <w:spacing w:before="7" w:line="260" w:lineRule="exact"/>
        <w:ind w:left="825" w:right="243"/>
        <w:rPr>
          <w:sz w:val="24"/>
          <w:szCs w:val="24"/>
        </w:rPr>
      </w:pPr>
      <w:r>
        <w:rPr>
          <w:sz w:val="24"/>
          <w:szCs w:val="24"/>
        </w:rPr>
        <w:t>What effect is the director trying to achieve through showing Ludo’s attachment to media characters “Pam” and “Ben”? Who or what does Ludo threaten?</w:t>
      </w:r>
    </w:p>
    <w:p w14:paraId="4BED50FF" w14:textId="77777777" w:rsidR="00940D1B" w:rsidRDefault="00940D1B">
      <w:pPr>
        <w:spacing w:before="13" w:line="260" w:lineRule="exact"/>
        <w:rPr>
          <w:sz w:val="26"/>
          <w:szCs w:val="26"/>
        </w:rPr>
      </w:pPr>
    </w:p>
    <w:p w14:paraId="6A491D40" w14:textId="77777777" w:rsidR="00940D1B" w:rsidRDefault="00A15723">
      <w:pPr>
        <w:ind w:left="825" w:right="117" w:hanging="360"/>
        <w:rPr>
          <w:sz w:val="24"/>
          <w:szCs w:val="24"/>
        </w:rPr>
      </w:pPr>
      <w:r>
        <w:rPr>
          <w:sz w:val="24"/>
          <w:szCs w:val="24"/>
        </w:rPr>
        <w:t xml:space="preserve">5.   What scenes are important in showing </w:t>
      </w:r>
      <w:r w:rsidR="00FA6E16">
        <w:rPr>
          <w:sz w:val="24"/>
          <w:szCs w:val="24"/>
        </w:rPr>
        <w:t xml:space="preserve">various </w:t>
      </w:r>
      <w:r>
        <w:rPr>
          <w:sz w:val="24"/>
          <w:szCs w:val="24"/>
        </w:rPr>
        <w:t>changes in each parent’s reactions to Ludo’</w:t>
      </w:r>
      <w:r w:rsidR="00FA6E16">
        <w:rPr>
          <w:sz w:val="24"/>
          <w:szCs w:val="24"/>
        </w:rPr>
        <w:t xml:space="preserve">s self-presentation as female? </w:t>
      </w:r>
      <w:r>
        <w:rPr>
          <w:sz w:val="24"/>
          <w:szCs w:val="24"/>
        </w:rPr>
        <w:t>Does the film offer an explanation (verbal or visual) for the neighbors’ negative reactions to Ludo’s wearing female dress?</w:t>
      </w:r>
    </w:p>
    <w:p w14:paraId="11F41F8E" w14:textId="77777777" w:rsidR="00940D1B" w:rsidRDefault="00940D1B">
      <w:pPr>
        <w:spacing w:before="16" w:line="260" w:lineRule="exact"/>
        <w:rPr>
          <w:sz w:val="26"/>
          <w:szCs w:val="26"/>
        </w:rPr>
      </w:pPr>
    </w:p>
    <w:p w14:paraId="5D6B555D" w14:textId="77777777" w:rsidR="00940D1B" w:rsidRDefault="00A15723">
      <w:pPr>
        <w:ind w:left="465"/>
        <w:rPr>
          <w:sz w:val="24"/>
          <w:szCs w:val="24"/>
        </w:rPr>
      </w:pPr>
      <w:r>
        <w:rPr>
          <w:sz w:val="24"/>
          <w:szCs w:val="24"/>
        </w:rPr>
        <w:t>6.   What roles do Jerome, Ludo’s grandmother, the therapist and Christine play in</w:t>
      </w:r>
    </w:p>
    <w:p w14:paraId="79B6B543" w14:textId="4BF928DA" w:rsidR="00940D1B" w:rsidRDefault="00A15723">
      <w:pPr>
        <w:spacing w:before="2"/>
        <w:ind w:left="787" w:right="1053"/>
        <w:jc w:val="center"/>
        <w:rPr>
          <w:sz w:val="24"/>
          <w:szCs w:val="24"/>
        </w:rPr>
      </w:pPr>
      <w:r>
        <w:rPr>
          <w:sz w:val="24"/>
          <w:szCs w:val="24"/>
        </w:rPr>
        <w:t>Ludo’s life? What influences do they represent or symbolize in society?</w:t>
      </w:r>
    </w:p>
    <w:p w14:paraId="30A0FF06" w14:textId="2B645C20" w:rsidR="008E3643" w:rsidRDefault="008E3643">
      <w:pPr>
        <w:rPr>
          <w:sz w:val="24"/>
          <w:szCs w:val="24"/>
        </w:rPr>
      </w:pPr>
      <w:r>
        <w:rPr>
          <w:sz w:val="24"/>
          <w:szCs w:val="24"/>
        </w:rPr>
        <w:br w:type="page"/>
      </w:r>
    </w:p>
    <w:p w14:paraId="29170330" w14:textId="77777777" w:rsidR="008E3643" w:rsidRPr="0065769D" w:rsidRDefault="008E3643" w:rsidP="008E3643">
      <w:pPr>
        <w:rPr>
          <w:rFonts w:ascii="Arial" w:hAnsi="Arial"/>
        </w:rPr>
      </w:pPr>
      <w:r w:rsidRPr="0065769D">
        <w:rPr>
          <w:rFonts w:ascii="Arial" w:hAnsi="Arial"/>
        </w:rPr>
        <w:lastRenderedPageBreak/>
        <w:t>MIT OpenCourseWare</w:t>
      </w:r>
    </w:p>
    <w:p w14:paraId="72E203DA" w14:textId="77777777" w:rsidR="008E3643" w:rsidRPr="0065769D" w:rsidRDefault="008E3643" w:rsidP="008E3643">
      <w:pPr>
        <w:rPr>
          <w:rFonts w:ascii="Arial" w:hAnsi="Arial"/>
        </w:rPr>
      </w:pPr>
      <w:hyperlink r:id="rId7" w:history="1">
        <w:r w:rsidRPr="006F3AD2">
          <w:rPr>
            <w:rStyle w:val="Hyperlink"/>
            <w:rFonts w:ascii="Arial" w:eastAsiaTheme="majorEastAsia" w:hAnsi="Arial"/>
          </w:rPr>
          <w:t>https://ocw.mit.edu/</w:t>
        </w:r>
      </w:hyperlink>
    </w:p>
    <w:p w14:paraId="63BAC3F8" w14:textId="77777777" w:rsidR="008E3643" w:rsidRPr="0065769D" w:rsidRDefault="008E3643" w:rsidP="008E3643">
      <w:pPr>
        <w:rPr>
          <w:rFonts w:ascii="Arial" w:hAnsi="Arial"/>
        </w:rPr>
      </w:pPr>
    </w:p>
    <w:p w14:paraId="0EFCF204" w14:textId="77777777" w:rsidR="008E3643" w:rsidRPr="0065769D" w:rsidRDefault="008E3643" w:rsidP="008E3643">
      <w:pPr>
        <w:rPr>
          <w:rFonts w:ascii="Arial" w:hAnsi="Arial"/>
        </w:rPr>
      </w:pPr>
    </w:p>
    <w:p w14:paraId="18DD2CAB" w14:textId="77777777" w:rsidR="008E3643" w:rsidRPr="0065769D" w:rsidRDefault="008E3643" w:rsidP="008E3643">
      <w:pPr>
        <w:rPr>
          <w:rFonts w:ascii="Arial" w:hAnsi="Arial"/>
        </w:rPr>
      </w:pPr>
    </w:p>
    <w:p w14:paraId="78074BD9" w14:textId="77777777" w:rsidR="008E3643" w:rsidRPr="0065769D" w:rsidRDefault="008E3643" w:rsidP="008E3643">
      <w:pPr>
        <w:rPr>
          <w:rFonts w:ascii="Arial" w:hAnsi="Arial"/>
        </w:rPr>
      </w:pPr>
      <w:r>
        <w:rPr>
          <w:rFonts w:ascii="Arial" w:hAnsi="Arial"/>
        </w:rPr>
        <w:t>WGS.101 Introduction to Women’s and Gender Studies</w:t>
      </w:r>
    </w:p>
    <w:p w14:paraId="4AF5B8B8" w14:textId="77777777" w:rsidR="008E3643" w:rsidRPr="0065769D" w:rsidRDefault="008E3643" w:rsidP="008E3643">
      <w:pPr>
        <w:rPr>
          <w:rFonts w:ascii="Arial" w:hAnsi="Arial"/>
        </w:rPr>
      </w:pPr>
      <w:r w:rsidRPr="0065769D">
        <w:rPr>
          <w:rFonts w:ascii="Arial" w:hAnsi="Arial"/>
        </w:rPr>
        <w:t>Spring 20</w:t>
      </w:r>
      <w:r>
        <w:rPr>
          <w:rFonts w:ascii="Arial" w:hAnsi="Arial"/>
        </w:rPr>
        <w:t>23</w:t>
      </w:r>
    </w:p>
    <w:p w14:paraId="4FBC5278" w14:textId="77777777" w:rsidR="008E3643" w:rsidRPr="0065769D" w:rsidRDefault="008E3643" w:rsidP="008E3643">
      <w:pPr>
        <w:rPr>
          <w:rFonts w:ascii="Arial" w:hAnsi="Arial"/>
        </w:rPr>
      </w:pPr>
    </w:p>
    <w:p w14:paraId="06B4A774" w14:textId="77777777" w:rsidR="008E3643" w:rsidRPr="0065769D" w:rsidRDefault="008E3643" w:rsidP="008E3643">
      <w:pPr>
        <w:rPr>
          <w:rFonts w:ascii="Arial" w:hAnsi="Arial"/>
        </w:rPr>
      </w:pPr>
    </w:p>
    <w:p w14:paraId="5B88C928" w14:textId="77777777" w:rsidR="008E3643" w:rsidRPr="0065769D" w:rsidRDefault="008E3643" w:rsidP="008E3643">
      <w:pPr>
        <w:rPr>
          <w:rFonts w:ascii="Arial" w:hAnsi="Arial"/>
        </w:rPr>
      </w:pPr>
    </w:p>
    <w:p w14:paraId="2999F054" w14:textId="77777777" w:rsidR="008E3643" w:rsidRPr="0065769D" w:rsidRDefault="008E3643" w:rsidP="008E3643">
      <w:pPr>
        <w:rPr>
          <w:rFonts w:ascii="Arial" w:hAnsi="Arial"/>
        </w:rPr>
      </w:pPr>
      <w:r w:rsidRPr="0065769D">
        <w:rPr>
          <w:rFonts w:ascii="Arial" w:hAnsi="Arial"/>
        </w:rPr>
        <w:t xml:space="preserve">For information about citing these materials or our Terms of Use, visit: </w:t>
      </w:r>
      <w:hyperlink r:id="rId8" w:history="1">
        <w:r w:rsidRPr="006F3AD2">
          <w:rPr>
            <w:rStyle w:val="Hyperlink"/>
            <w:rFonts w:ascii="Arial" w:eastAsiaTheme="majorEastAsia" w:hAnsi="Arial"/>
          </w:rPr>
          <w:t>https://ocw.mit.edu/terms</w:t>
        </w:r>
      </w:hyperlink>
      <w:r w:rsidRPr="0065769D">
        <w:rPr>
          <w:rFonts w:ascii="Arial" w:hAnsi="Arial"/>
        </w:rPr>
        <w:t xml:space="preserve">. </w:t>
      </w:r>
    </w:p>
    <w:p w14:paraId="442F1463" w14:textId="77777777" w:rsidR="008E3643" w:rsidRDefault="008E3643">
      <w:pPr>
        <w:spacing w:before="2"/>
        <w:ind w:left="787" w:right="1053"/>
        <w:jc w:val="center"/>
        <w:rPr>
          <w:sz w:val="24"/>
          <w:szCs w:val="24"/>
        </w:rPr>
      </w:pPr>
    </w:p>
    <w:sectPr w:rsidR="008E3643">
      <w:footerReference w:type="default" r:id="rId9"/>
      <w:type w:val="continuous"/>
      <w:pgSz w:w="12240" w:h="15840"/>
      <w:pgMar w:top="1380" w:right="1720" w:bottom="280" w:left="17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AB010B" w14:textId="77777777" w:rsidR="003F1B4A" w:rsidRDefault="003F1B4A" w:rsidP="008E3643">
      <w:r>
        <w:separator/>
      </w:r>
    </w:p>
  </w:endnote>
  <w:endnote w:type="continuationSeparator" w:id="0">
    <w:p w14:paraId="4CB09666" w14:textId="77777777" w:rsidR="003F1B4A" w:rsidRDefault="003F1B4A" w:rsidP="008E36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48670279"/>
      <w:docPartObj>
        <w:docPartGallery w:val="Page Numbers (Bottom of Page)"/>
        <w:docPartUnique/>
      </w:docPartObj>
    </w:sdtPr>
    <w:sdtEndPr>
      <w:rPr>
        <w:noProof/>
      </w:rPr>
    </w:sdtEndPr>
    <w:sdtContent>
      <w:p w14:paraId="6792D743" w14:textId="01445FB5" w:rsidR="008E3643" w:rsidRDefault="008E3643">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8FCD5A8" w14:textId="77777777" w:rsidR="008E3643" w:rsidRDefault="008E364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093932" w14:textId="77777777" w:rsidR="003F1B4A" w:rsidRDefault="003F1B4A" w:rsidP="008E3643">
      <w:r>
        <w:separator/>
      </w:r>
    </w:p>
  </w:footnote>
  <w:footnote w:type="continuationSeparator" w:id="0">
    <w:p w14:paraId="5D195BF8" w14:textId="77777777" w:rsidR="003F1B4A" w:rsidRDefault="003F1B4A" w:rsidP="008E364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A32FA"/>
    <w:multiLevelType w:val="multilevel"/>
    <w:tmpl w:val="D692362A"/>
    <w:lvl w:ilvl="0">
      <w:start w:val="1"/>
      <w:numFmt w:val="decimal"/>
      <w:pStyle w:val="Heading1"/>
      <w:lvlText w:val="%1."/>
      <w:lvlJc w:val="left"/>
      <w:pPr>
        <w:tabs>
          <w:tab w:val="num" w:pos="720"/>
        </w:tabs>
        <w:ind w:left="720" w:hanging="720"/>
      </w:pPr>
    </w:lvl>
    <w:lvl w:ilvl="1">
      <w:start w:val="1"/>
      <w:numFmt w:val="decimal"/>
      <w:pStyle w:val="Heading2"/>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pStyle w:val="Heading4"/>
      <w:lvlText w:val="%4."/>
      <w:lvlJc w:val="left"/>
      <w:pPr>
        <w:tabs>
          <w:tab w:val="num" w:pos="2880"/>
        </w:tabs>
        <w:ind w:left="2880" w:hanging="720"/>
      </w:pPr>
    </w:lvl>
    <w:lvl w:ilvl="4">
      <w:start w:val="1"/>
      <w:numFmt w:val="decimal"/>
      <w:pStyle w:val="Heading5"/>
      <w:lvlText w:val="%5."/>
      <w:lvlJc w:val="left"/>
      <w:pPr>
        <w:tabs>
          <w:tab w:val="num" w:pos="3600"/>
        </w:tabs>
        <w:ind w:left="3600" w:hanging="720"/>
      </w:pPr>
    </w:lvl>
    <w:lvl w:ilvl="5">
      <w:start w:val="1"/>
      <w:numFmt w:val="decimal"/>
      <w:pStyle w:val="Heading6"/>
      <w:lvlText w:val="%6."/>
      <w:lvlJc w:val="left"/>
      <w:pPr>
        <w:tabs>
          <w:tab w:val="num" w:pos="4320"/>
        </w:tabs>
        <w:ind w:left="4320" w:hanging="720"/>
      </w:pPr>
    </w:lvl>
    <w:lvl w:ilvl="6">
      <w:start w:val="1"/>
      <w:numFmt w:val="decimal"/>
      <w:pStyle w:val="Heading7"/>
      <w:lvlText w:val="%7."/>
      <w:lvlJc w:val="left"/>
      <w:pPr>
        <w:tabs>
          <w:tab w:val="num" w:pos="5040"/>
        </w:tabs>
        <w:ind w:left="5040" w:hanging="720"/>
      </w:pPr>
    </w:lvl>
    <w:lvl w:ilvl="7">
      <w:start w:val="1"/>
      <w:numFmt w:val="decimal"/>
      <w:pStyle w:val="Heading8"/>
      <w:lvlText w:val="%8."/>
      <w:lvlJc w:val="left"/>
      <w:pPr>
        <w:tabs>
          <w:tab w:val="num" w:pos="5760"/>
        </w:tabs>
        <w:ind w:left="5760" w:hanging="720"/>
      </w:pPr>
    </w:lvl>
    <w:lvl w:ilvl="8">
      <w:start w:val="1"/>
      <w:numFmt w:val="decimal"/>
      <w:pStyle w:val="Heading9"/>
      <w:lvlText w:val="%9."/>
      <w:lvlJc w:val="left"/>
      <w:pPr>
        <w:tabs>
          <w:tab w:val="num" w:pos="6480"/>
        </w:tabs>
        <w:ind w:left="6480" w:hanging="7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0D1B"/>
    <w:rsid w:val="003F1B4A"/>
    <w:rsid w:val="00491B4F"/>
    <w:rsid w:val="004932AF"/>
    <w:rsid w:val="00716F67"/>
    <w:rsid w:val="00742033"/>
    <w:rsid w:val="007B5DB7"/>
    <w:rsid w:val="007F23AE"/>
    <w:rsid w:val="008E3643"/>
    <w:rsid w:val="00940D1B"/>
    <w:rsid w:val="00A10536"/>
    <w:rsid w:val="00A15723"/>
    <w:rsid w:val="00A70626"/>
    <w:rsid w:val="00B77EBE"/>
    <w:rsid w:val="00E67579"/>
    <w:rsid w:val="00EC244D"/>
    <w:rsid w:val="00FA6E1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AA760F9"/>
  <w15:docId w15:val="{A3BB7FB9-3574-4823-A7F2-3DD77596D2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numPr>
        <w:ilvl w:val="1"/>
        <w:numId w:val="1"/>
      </w:numPr>
      <w:spacing w:before="240" w:after="6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numPr>
        <w:ilvl w:val="2"/>
        <w:numId w:val="1"/>
      </w:numPr>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numPr>
        <w:ilvl w:val="3"/>
        <w:numId w:val="1"/>
      </w:numPr>
      <w:spacing w:before="240" w:after="6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numPr>
        <w:ilvl w:val="4"/>
        <w:numId w:val="1"/>
      </w:numPr>
      <w:spacing w:before="240" w:after="6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1B3490"/>
    <w:pPr>
      <w:numPr>
        <w:ilvl w:val="6"/>
        <w:numId w:val="1"/>
      </w:numPr>
      <w:spacing w:before="240" w:after="6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numPr>
        <w:ilvl w:val="7"/>
        <w:numId w:val="1"/>
      </w:numPr>
      <w:spacing w:before="240" w:after="6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numPr>
        <w:ilvl w:val="8"/>
        <w:numId w:val="1"/>
      </w:numPr>
      <w:spacing w:before="240" w:after="6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character" w:styleId="Hyperlink">
    <w:name w:val="Hyperlink"/>
    <w:rsid w:val="008E3643"/>
    <w:rPr>
      <w:color w:val="0000FF"/>
      <w:u w:val="single"/>
    </w:rPr>
  </w:style>
  <w:style w:type="paragraph" w:styleId="Header">
    <w:name w:val="header"/>
    <w:basedOn w:val="Normal"/>
    <w:link w:val="HeaderChar"/>
    <w:uiPriority w:val="99"/>
    <w:unhideWhenUsed/>
    <w:rsid w:val="008E3643"/>
    <w:pPr>
      <w:tabs>
        <w:tab w:val="center" w:pos="4680"/>
        <w:tab w:val="right" w:pos="9360"/>
      </w:tabs>
    </w:pPr>
  </w:style>
  <w:style w:type="character" w:customStyle="1" w:styleId="HeaderChar">
    <w:name w:val="Header Char"/>
    <w:basedOn w:val="DefaultParagraphFont"/>
    <w:link w:val="Header"/>
    <w:uiPriority w:val="99"/>
    <w:rsid w:val="008E3643"/>
  </w:style>
  <w:style w:type="paragraph" w:styleId="Footer">
    <w:name w:val="footer"/>
    <w:basedOn w:val="Normal"/>
    <w:link w:val="FooterChar"/>
    <w:uiPriority w:val="99"/>
    <w:unhideWhenUsed/>
    <w:rsid w:val="008E3643"/>
    <w:pPr>
      <w:tabs>
        <w:tab w:val="center" w:pos="4680"/>
        <w:tab w:val="right" w:pos="9360"/>
      </w:tabs>
    </w:pPr>
  </w:style>
  <w:style w:type="character" w:customStyle="1" w:styleId="FooterChar">
    <w:name w:val="Footer Char"/>
    <w:basedOn w:val="DefaultParagraphFont"/>
    <w:link w:val="Footer"/>
    <w:uiPriority w:val="99"/>
    <w:rsid w:val="008E36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ocw.mit.edu/terms" TargetMode="External"/><Relationship Id="rId3" Type="http://schemas.openxmlformats.org/officeDocument/2006/relationships/settings" Target="settings.xml"/><Relationship Id="rId7" Type="http://schemas.openxmlformats.org/officeDocument/2006/relationships/hyperlink" Target="https://ocw.mit.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403</Words>
  <Characters>2210</Characters>
  <Application>Microsoft Office Word</Application>
  <DocSecurity>0</DocSecurity>
  <Lines>100</Lines>
  <Paragraphs>38</Paragraphs>
  <ScaleCrop>false</ScaleCrop>
  <Company/>
  <LinksUpToDate>false</LinksUpToDate>
  <CharactersWithSpaces>2575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Cheryl Siegel</dc:creator>
  <cp:lastModifiedBy>Cheryl Siegel</cp:lastModifiedBy>
  <cp:revision>3</cp:revision>
  <cp:lastPrinted>2020-04-08T17:29:00Z</cp:lastPrinted>
  <dcterms:created xsi:type="dcterms:W3CDTF">2023-11-15T20:54:00Z</dcterms:created>
  <dcterms:modified xsi:type="dcterms:W3CDTF">2023-11-15T20:55:00Z</dcterms:modified>
</cp:coreProperties>
</file>