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9BB625" w14:textId="173F6E90" w:rsidR="004B56F7" w:rsidRDefault="006D6F87">
      <w:pPr>
        <w:spacing w:before="61"/>
        <w:ind w:left="585"/>
        <w:rPr>
          <w:sz w:val="24"/>
          <w:szCs w:val="24"/>
        </w:rPr>
      </w:pPr>
      <w:r>
        <w:rPr>
          <w:b/>
          <w:sz w:val="24"/>
          <w:szCs w:val="24"/>
        </w:rPr>
        <w:t>CLASS</w:t>
      </w:r>
      <w:r w:rsidR="00356E3D">
        <w:rPr>
          <w:b/>
          <w:sz w:val="24"/>
          <w:szCs w:val="24"/>
        </w:rPr>
        <w:t xml:space="preserve"> #2</w:t>
      </w:r>
      <w:r w:rsidR="003D790A">
        <w:rPr>
          <w:b/>
          <w:sz w:val="24"/>
          <w:szCs w:val="24"/>
        </w:rPr>
        <w:t xml:space="preserve">   </w:t>
      </w:r>
      <w:r w:rsidR="002C1675">
        <w:rPr>
          <w:b/>
          <w:sz w:val="24"/>
          <w:szCs w:val="24"/>
        </w:rPr>
        <w:t xml:space="preserve">OUTLINE   </w:t>
      </w:r>
      <w:r w:rsidR="00C93202">
        <w:rPr>
          <w:b/>
          <w:sz w:val="24"/>
          <w:szCs w:val="24"/>
        </w:rPr>
        <w:t xml:space="preserve">  </w:t>
      </w:r>
      <w:r w:rsidR="002C1675">
        <w:rPr>
          <w:b/>
          <w:sz w:val="24"/>
          <w:szCs w:val="24"/>
        </w:rPr>
        <w:t xml:space="preserve">WGS. </w:t>
      </w:r>
      <w:r w:rsidR="004224F4">
        <w:rPr>
          <w:b/>
          <w:sz w:val="24"/>
          <w:szCs w:val="24"/>
        </w:rPr>
        <w:t xml:space="preserve">101 </w:t>
      </w:r>
      <w:r>
        <w:rPr>
          <w:b/>
          <w:sz w:val="24"/>
          <w:szCs w:val="24"/>
        </w:rPr>
        <w:t xml:space="preserve">  </w:t>
      </w:r>
      <w:r w:rsidR="00A82D59">
        <w:rPr>
          <w:b/>
          <w:sz w:val="24"/>
          <w:szCs w:val="24"/>
        </w:rPr>
        <w:t>Spring 202</w:t>
      </w:r>
      <w:r w:rsidR="00B773AD">
        <w:rPr>
          <w:b/>
          <w:sz w:val="24"/>
          <w:szCs w:val="24"/>
        </w:rPr>
        <w:t>3</w:t>
      </w:r>
    </w:p>
    <w:p w14:paraId="55A7666F" w14:textId="77777777" w:rsidR="004B56F7" w:rsidRDefault="004B56F7">
      <w:pPr>
        <w:spacing w:before="16" w:line="260" w:lineRule="exact"/>
        <w:rPr>
          <w:sz w:val="26"/>
          <w:szCs w:val="26"/>
        </w:rPr>
      </w:pPr>
    </w:p>
    <w:p w14:paraId="1211849F" w14:textId="38FAFE71" w:rsidR="004B56F7" w:rsidRDefault="004224F4" w:rsidP="004224F4">
      <w:pPr>
        <w:ind w:left="484" w:right="562"/>
        <w:rPr>
          <w:sz w:val="24"/>
          <w:szCs w:val="24"/>
        </w:rPr>
      </w:pPr>
      <w:r>
        <w:rPr>
          <w:b/>
          <w:sz w:val="24"/>
          <w:szCs w:val="24"/>
        </w:rPr>
        <w:t xml:space="preserve">Due: </w:t>
      </w:r>
      <w:r w:rsidR="0047080F">
        <w:rPr>
          <w:sz w:val="24"/>
          <w:szCs w:val="24"/>
        </w:rPr>
        <w:t>HW #1</w:t>
      </w:r>
      <w:r w:rsidR="005D65EE">
        <w:rPr>
          <w:sz w:val="24"/>
          <w:szCs w:val="24"/>
        </w:rPr>
        <w:t>: Review HW #2</w:t>
      </w:r>
      <w:r w:rsidR="006D6F8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</w:p>
    <w:p w14:paraId="45198880" w14:textId="77777777" w:rsidR="00A46054" w:rsidRDefault="00A46054" w:rsidP="004224F4">
      <w:pPr>
        <w:ind w:left="484" w:right="562"/>
        <w:rPr>
          <w:sz w:val="24"/>
          <w:szCs w:val="24"/>
        </w:rPr>
      </w:pPr>
    </w:p>
    <w:p w14:paraId="7F966DF0" w14:textId="77777777" w:rsidR="00A46054" w:rsidRPr="00A46054" w:rsidRDefault="00A46054" w:rsidP="00A46054">
      <w:pPr>
        <w:pStyle w:val="ListParagraph"/>
        <w:numPr>
          <w:ilvl w:val="0"/>
          <w:numId w:val="2"/>
        </w:numPr>
        <w:ind w:right="562"/>
        <w:rPr>
          <w:sz w:val="24"/>
          <w:szCs w:val="24"/>
        </w:rPr>
      </w:pPr>
      <w:r w:rsidRPr="00A46054">
        <w:rPr>
          <w:sz w:val="24"/>
          <w:szCs w:val="24"/>
        </w:rPr>
        <w:t>Women’s and Gender Studies: Influence of Women’</w:t>
      </w:r>
      <w:r>
        <w:rPr>
          <w:sz w:val="24"/>
          <w:szCs w:val="24"/>
        </w:rPr>
        <w:t>s/Gender Rights</w:t>
      </w:r>
    </w:p>
    <w:p w14:paraId="18DA16A3" w14:textId="292AC0F9" w:rsidR="003B4D93" w:rsidRDefault="00A46054" w:rsidP="00A46054">
      <w:pPr>
        <w:pStyle w:val="ListParagraph"/>
        <w:ind w:left="844" w:right="562"/>
        <w:rPr>
          <w:sz w:val="24"/>
          <w:szCs w:val="24"/>
        </w:rPr>
      </w:pPr>
      <w:r>
        <w:rPr>
          <w:sz w:val="24"/>
          <w:szCs w:val="24"/>
        </w:rPr>
        <w:t>Movem</w:t>
      </w:r>
      <w:r w:rsidR="0047080F">
        <w:rPr>
          <w:sz w:val="24"/>
          <w:szCs w:val="24"/>
        </w:rPr>
        <w:t>ents (“First Wave” (1848-1920):”</w:t>
      </w:r>
      <w:r>
        <w:rPr>
          <w:sz w:val="24"/>
          <w:szCs w:val="24"/>
        </w:rPr>
        <w:t>Second Wave</w:t>
      </w:r>
      <w:r w:rsidR="00FA5D2D">
        <w:rPr>
          <w:sz w:val="24"/>
          <w:szCs w:val="24"/>
        </w:rPr>
        <w:t xml:space="preserve"> +</w:t>
      </w:r>
      <w:r>
        <w:rPr>
          <w:sz w:val="24"/>
          <w:szCs w:val="24"/>
        </w:rPr>
        <w:t>”</w:t>
      </w:r>
      <w:r w:rsidR="00754256">
        <w:rPr>
          <w:sz w:val="24"/>
          <w:szCs w:val="24"/>
        </w:rPr>
        <w:t>: 1966</w:t>
      </w:r>
      <w:r>
        <w:rPr>
          <w:sz w:val="24"/>
          <w:szCs w:val="24"/>
        </w:rPr>
        <w:t>-)</w:t>
      </w:r>
      <w:r w:rsidR="003B4D93">
        <w:rPr>
          <w:sz w:val="24"/>
          <w:szCs w:val="24"/>
        </w:rPr>
        <w:t>-</w:t>
      </w:r>
    </w:p>
    <w:p w14:paraId="49048F6A" w14:textId="7F35E63A" w:rsidR="00A46054" w:rsidRDefault="003B4D93" w:rsidP="00A46054">
      <w:pPr>
        <w:pStyle w:val="ListParagraph"/>
        <w:ind w:left="844" w:right="562"/>
        <w:rPr>
          <w:sz w:val="24"/>
          <w:szCs w:val="24"/>
        </w:rPr>
      </w:pPr>
      <w:r w:rsidRPr="006D6F87">
        <w:rPr>
          <w:b/>
          <w:sz w:val="24"/>
          <w:szCs w:val="24"/>
        </w:rPr>
        <w:t>In- Class Writing Exercise</w:t>
      </w:r>
      <w:r w:rsidR="003D790A">
        <w:rPr>
          <w:sz w:val="24"/>
          <w:szCs w:val="24"/>
        </w:rPr>
        <w:t>: Movements for Gender Equality</w:t>
      </w:r>
    </w:p>
    <w:p w14:paraId="777DB36C" w14:textId="2C591DB6" w:rsidR="006D6F87" w:rsidRDefault="006D6F87" w:rsidP="00A46054">
      <w:pPr>
        <w:pStyle w:val="ListParagraph"/>
        <w:ind w:left="844" w:right="562"/>
        <w:rPr>
          <w:b/>
          <w:sz w:val="24"/>
          <w:szCs w:val="24"/>
        </w:rPr>
      </w:pPr>
      <w:r>
        <w:rPr>
          <w:b/>
          <w:sz w:val="24"/>
          <w:szCs w:val="24"/>
        </w:rPr>
        <w:t>Pairs Discussion</w:t>
      </w:r>
    </w:p>
    <w:p w14:paraId="77815876" w14:textId="77777777" w:rsidR="00B773AD" w:rsidRDefault="00B773AD" w:rsidP="00A46054">
      <w:pPr>
        <w:pStyle w:val="ListParagraph"/>
        <w:ind w:left="844" w:right="562"/>
        <w:rPr>
          <w:b/>
          <w:sz w:val="24"/>
          <w:szCs w:val="24"/>
        </w:rPr>
      </w:pPr>
    </w:p>
    <w:p w14:paraId="382B9204" w14:textId="532C59E8" w:rsidR="00B773AD" w:rsidRPr="00B773AD" w:rsidRDefault="00B773AD" w:rsidP="00A46054">
      <w:pPr>
        <w:pStyle w:val="ListParagraph"/>
        <w:ind w:left="844" w:right="562"/>
        <w:rPr>
          <w:sz w:val="24"/>
          <w:szCs w:val="24"/>
        </w:rPr>
      </w:pPr>
      <w:r>
        <w:rPr>
          <w:b/>
          <w:sz w:val="24"/>
          <w:szCs w:val="24"/>
        </w:rPr>
        <w:t xml:space="preserve">Film Clip: </w:t>
      </w:r>
      <w:r>
        <w:rPr>
          <w:i/>
          <w:sz w:val="24"/>
          <w:szCs w:val="24"/>
        </w:rPr>
        <w:t xml:space="preserve">One Woman, One Vote </w:t>
      </w:r>
      <w:r>
        <w:rPr>
          <w:sz w:val="24"/>
          <w:szCs w:val="24"/>
        </w:rPr>
        <w:t>(1995)</w:t>
      </w:r>
    </w:p>
    <w:p w14:paraId="4EFEBFD5" w14:textId="1A2FD891" w:rsidR="004B56F7" w:rsidRPr="003B4D93" w:rsidRDefault="003B4D93" w:rsidP="003B4D93">
      <w:pPr>
        <w:pStyle w:val="ListParagraph"/>
        <w:ind w:left="844" w:right="562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1E121E8E" w14:textId="3361F081" w:rsidR="004B56F7" w:rsidRDefault="004224F4">
      <w:pPr>
        <w:ind w:left="765" w:right="2328" w:hanging="300"/>
        <w:rPr>
          <w:sz w:val="24"/>
          <w:szCs w:val="24"/>
        </w:rPr>
      </w:pPr>
      <w:r>
        <w:rPr>
          <w:sz w:val="24"/>
          <w:szCs w:val="24"/>
        </w:rPr>
        <w:t>2</w:t>
      </w:r>
      <w:r w:rsidR="00A46054">
        <w:rPr>
          <w:sz w:val="24"/>
          <w:szCs w:val="24"/>
        </w:rPr>
        <w:t xml:space="preserve">. The 1848 Seneca Falls Convention: Birth of a Movement— </w:t>
      </w:r>
    </w:p>
    <w:p w14:paraId="382AEEB3" w14:textId="0CAB27A7" w:rsidR="004B56F7" w:rsidRDefault="00A46054">
      <w:pPr>
        <w:spacing w:line="260" w:lineRule="exact"/>
        <w:ind w:left="765"/>
        <w:rPr>
          <w:sz w:val="24"/>
          <w:szCs w:val="24"/>
        </w:rPr>
      </w:pPr>
      <w:r>
        <w:rPr>
          <w:sz w:val="24"/>
          <w:szCs w:val="24"/>
        </w:rPr>
        <w:t>Multiple Influenc</w:t>
      </w:r>
      <w:r w:rsidR="0047080F">
        <w:rPr>
          <w:sz w:val="24"/>
          <w:szCs w:val="24"/>
        </w:rPr>
        <w:t>es on Women’s Rights Activists:</w:t>
      </w:r>
    </w:p>
    <w:p w14:paraId="074925D2" w14:textId="559E68E6" w:rsidR="004B56F7" w:rsidRDefault="00A46054" w:rsidP="003B6E99">
      <w:pPr>
        <w:spacing w:before="2"/>
        <w:ind w:left="765"/>
        <w:rPr>
          <w:sz w:val="24"/>
          <w:szCs w:val="24"/>
        </w:rPr>
      </w:pPr>
      <w:r>
        <w:rPr>
          <w:sz w:val="24"/>
          <w:szCs w:val="24"/>
        </w:rPr>
        <w:t xml:space="preserve">American Revolution: </w:t>
      </w:r>
      <w:r w:rsidR="003B6E99">
        <w:rPr>
          <w:sz w:val="24"/>
          <w:szCs w:val="24"/>
        </w:rPr>
        <w:t xml:space="preserve">ideas of </w:t>
      </w:r>
      <w:r>
        <w:rPr>
          <w:sz w:val="24"/>
          <w:szCs w:val="24"/>
        </w:rPr>
        <w:t xml:space="preserve">democracy and </w:t>
      </w:r>
      <w:r w:rsidR="003B6E99">
        <w:rPr>
          <w:sz w:val="24"/>
          <w:szCs w:val="24"/>
        </w:rPr>
        <w:t>anticolonialism</w:t>
      </w:r>
    </w:p>
    <w:p w14:paraId="1C3C99EC" w14:textId="71E52096" w:rsidR="004B56F7" w:rsidRDefault="003D790A" w:rsidP="003D790A">
      <w:pPr>
        <w:spacing w:line="260" w:lineRule="exact"/>
        <w:rPr>
          <w:sz w:val="24"/>
          <w:szCs w:val="24"/>
        </w:rPr>
      </w:pPr>
      <w:r>
        <w:rPr>
          <w:sz w:val="24"/>
          <w:szCs w:val="24"/>
        </w:rPr>
        <w:t xml:space="preserve">             Pursuing </w:t>
      </w:r>
      <w:r w:rsidR="00A46054">
        <w:rPr>
          <w:sz w:val="24"/>
          <w:szCs w:val="24"/>
        </w:rPr>
        <w:t>the Promise of Democracy; Pushing the Boundaries of the “Cult of</w:t>
      </w:r>
    </w:p>
    <w:p w14:paraId="5BE9A1CA" w14:textId="6C27D609" w:rsidR="004B56F7" w:rsidRDefault="0047080F" w:rsidP="0047080F">
      <w:pPr>
        <w:spacing w:before="2"/>
        <w:rPr>
          <w:sz w:val="24"/>
          <w:szCs w:val="24"/>
        </w:rPr>
      </w:pPr>
      <w:r>
        <w:rPr>
          <w:sz w:val="24"/>
          <w:szCs w:val="24"/>
        </w:rPr>
        <w:t xml:space="preserve">             </w:t>
      </w:r>
      <w:r w:rsidR="00A46054">
        <w:rPr>
          <w:sz w:val="24"/>
          <w:szCs w:val="24"/>
        </w:rPr>
        <w:t>True Womanhood” (</w:t>
      </w:r>
      <w:r w:rsidR="003D790A">
        <w:rPr>
          <w:sz w:val="24"/>
          <w:szCs w:val="24"/>
        </w:rPr>
        <w:t>ideas of female p</w:t>
      </w:r>
      <w:r w:rsidR="00A46054">
        <w:rPr>
          <w:sz w:val="24"/>
          <w:szCs w:val="24"/>
        </w:rPr>
        <w:t>iety, purity, domesticity, obedience)</w:t>
      </w:r>
    </w:p>
    <w:p w14:paraId="4F546645" w14:textId="39C2B83C" w:rsidR="003B4D93" w:rsidRDefault="003B4D93" w:rsidP="003B4D93">
      <w:pPr>
        <w:ind w:left="765" w:right="2328" w:hanging="300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3B6E99">
        <w:rPr>
          <w:sz w:val="24"/>
          <w:szCs w:val="24"/>
        </w:rPr>
        <w:t xml:space="preserve"> Female Reform Movements: Temperance, Anti-</w:t>
      </w:r>
      <w:r w:rsidR="0047080F">
        <w:rPr>
          <w:sz w:val="24"/>
          <w:szCs w:val="24"/>
        </w:rPr>
        <w:t xml:space="preserve">  </w:t>
      </w:r>
      <w:r w:rsidR="00A82D59">
        <w:rPr>
          <w:sz w:val="24"/>
          <w:szCs w:val="24"/>
        </w:rPr>
        <w:t xml:space="preserve"> </w:t>
      </w:r>
      <w:r w:rsidR="003B6E99">
        <w:rPr>
          <w:sz w:val="24"/>
          <w:szCs w:val="24"/>
        </w:rPr>
        <w:t>Prostitution and</w:t>
      </w:r>
      <w:r w:rsidR="003D790A">
        <w:rPr>
          <w:sz w:val="24"/>
          <w:szCs w:val="24"/>
        </w:rPr>
        <w:t xml:space="preserve"> </w:t>
      </w:r>
      <w:r w:rsidR="003B6E99">
        <w:rPr>
          <w:sz w:val="24"/>
          <w:szCs w:val="24"/>
        </w:rPr>
        <w:t>Abolitionism</w:t>
      </w:r>
      <w:r>
        <w:rPr>
          <w:sz w:val="24"/>
          <w:szCs w:val="24"/>
        </w:rPr>
        <w:t xml:space="preserve"> </w:t>
      </w:r>
      <w:r w:rsidR="00A82D59">
        <w:rPr>
          <w:sz w:val="24"/>
          <w:szCs w:val="24"/>
        </w:rPr>
        <w:t>– Gender-Conscious Social Movements</w:t>
      </w:r>
    </w:p>
    <w:p w14:paraId="260D83BA" w14:textId="77777777" w:rsidR="004B56F7" w:rsidRDefault="004B56F7">
      <w:pPr>
        <w:spacing w:before="16" w:line="260" w:lineRule="exact"/>
        <w:rPr>
          <w:sz w:val="26"/>
          <w:szCs w:val="26"/>
        </w:rPr>
      </w:pPr>
    </w:p>
    <w:p w14:paraId="6F832EB0" w14:textId="68133A44" w:rsidR="004B56F7" w:rsidRDefault="00A46054">
      <w:pPr>
        <w:ind w:left="1125" w:right="582" w:hanging="660"/>
        <w:rPr>
          <w:sz w:val="24"/>
          <w:szCs w:val="24"/>
        </w:rPr>
      </w:pPr>
      <w:r>
        <w:rPr>
          <w:sz w:val="24"/>
          <w:szCs w:val="24"/>
        </w:rPr>
        <w:t>3. “The Declaration of Independence” and “The Declaration of Sentiments” Duality of “The Declaration of Sentiments”</w:t>
      </w:r>
      <w:r w:rsidR="003B4D93">
        <w:rPr>
          <w:sz w:val="24"/>
          <w:szCs w:val="24"/>
        </w:rPr>
        <w:t>;</w:t>
      </w:r>
      <w:r>
        <w:rPr>
          <w:sz w:val="24"/>
          <w:szCs w:val="24"/>
        </w:rPr>
        <w:t xml:space="preserve"> Varying Interpretation</w:t>
      </w:r>
      <w:r w:rsidR="003B6E99">
        <w:rPr>
          <w:sz w:val="24"/>
          <w:szCs w:val="24"/>
        </w:rPr>
        <w:t>s of the “He” Structure of “The Declaration of Sentiments”</w:t>
      </w:r>
    </w:p>
    <w:p w14:paraId="16A31804" w14:textId="77777777" w:rsidR="004B56F7" w:rsidRDefault="004B56F7">
      <w:pPr>
        <w:spacing w:before="1" w:line="240" w:lineRule="exact"/>
        <w:rPr>
          <w:sz w:val="24"/>
          <w:szCs w:val="24"/>
        </w:rPr>
      </w:pPr>
    </w:p>
    <w:p w14:paraId="09DD1185" w14:textId="405A4862" w:rsidR="004B56F7" w:rsidRDefault="00A46054">
      <w:pPr>
        <w:ind w:left="885" w:right="190" w:hanging="300"/>
        <w:rPr>
          <w:sz w:val="24"/>
          <w:szCs w:val="24"/>
        </w:rPr>
      </w:pPr>
      <w:r>
        <w:rPr>
          <w:sz w:val="24"/>
          <w:szCs w:val="24"/>
        </w:rPr>
        <w:t xml:space="preserve">4. The “Sentiments”: Mirror of </w:t>
      </w:r>
      <w:r w:rsidR="009E61F9">
        <w:rPr>
          <w:sz w:val="24"/>
          <w:szCs w:val="24"/>
        </w:rPr>
        <w:t>Nineteenth</w:t>
      </w:r>
      <w:r>
        <w:rPr>
          <w:position w:val="11"/>
          <w:sz w:val="16"/>
          <w:szCs w:val="16"/>
        </w:rPr>
        <w:t xml:space="preserve">  </w:t>
      </w:r>
      <w:r>
        <w:rPr>
          <w:sz w:val="24"/>
          <w:szCs w:val="24"/>
        </w:rPr>
        <w:t xml:space="preserve">Century </w:t>
      </w:r>
      <w:r w:rsidR="009E61F9">
        <w:rPr>
          <w:sz w:val="24"/>
          <w:szCs w:val="24"/>
        </w:rPr>
        <w:t xml:space="preserve">U.S. </w:t>
      </w:r>
      <w:r>
        <w:rPr>
          <w:sz w:val="24"/>
          <w:szCs w:val="24"/>
        </w:rPr>
        <w:t>W</w:t>
      </w:r>
      <w:r w:rsidR="003B6E99">
        <w:rPr>
          <w:sz w:val="24"/>
          <w:szCs w:val="24"/>
        </w:rPr>
        <w:t>omen’s Lives and Gender System;</w:t>
      </w:r>
      <w:r>
        <w:rPr>
          <w:sz w:val="24"/>
          <w:szCs w:val="24"/>
        </w:rPr>
        <w:t xml:space="preserve"> </w:t>
      </w:r>
      <w:r w:rsidRPr="00A82D59">
        <w:rPr>
          <w:b/>
          <w:sz w:val="24"/>
          <w:szCs w:val="24"/>
        </w:rPr>
        <w:t>Small Group Discussion</w:t>
      </w:r>
    </w:p>
    <w:p w14:paraId="62979DF5" w14:textId="197E971F" w:rsidR="003B6E99" w:rsidRDefault="003B6E99">
      <w:pPr>
        <w:ind w:left="885" w:right="190" w:hanging="300"/>
        <w:rPr>
          <w:sz w:val="24"/>
          <w:szCs w:val="24"/>
        </w:rPr>
      </w:pPr>
      <w:r>
        <w:rPr>
          <w:sz w:val="24"/>
          <w:szCs w:val="24"/>
        </w:rPr>
        <w:t xml:space="preserve">      The Sentiments: constructed visually as an “action item” agenda</w:t>
      </w:r>
    </w:p>
    <w:p w14:paraId="6294D50E" w14:textId="5BA65142" w:rsidR="003B6E99" w:rsidRDefault="003B6E99">
      <w:pPr>
        <w:ind w:left="885" w:right="190" w:hanging="300"/>
        <w:rPr>
          <w:sz w:val="24"/>
          <w:szCs w:val="24"/>
        </w:rPr>
      </w:pPr>
      <w:r>
        <w:rPr>
          <w:sz w:val="24"/>
          <w:szCs w:val="24"/>
        </w:rPr>
        <w:t xml:space="preserve">       Portrait of a gendered hierarchy that maintains its power through law,</w:t>
      </w:r>
    </w:p>
    <w:p w14:paraId="02BE5A99" w14:textId="043F1CA3" w:rsidR="003B6E99" w:rsidRDefault="003B6E99">
      <w:pPr>
        <w:ind w:left="885" w:right="190" w:hanging="300"/>
        <w:rPr>
          <w:sz w:val="24"/>
          <w:szCs w:val="24"/>
        </w:rPr>
      </w:pPr>
      <w:r>
        <w:rPr>
          <w:sz w:val="24"/>
          <w:szCs w:val="24"/>
        </w:rPr>
        <w:t xml:space="preserve">       institutional barriers, religious beliefs, customs, culture and violence</w:t>
      </w:r>
    </w:p>
    <w:p w14:paraId="50FF2566" w14:textId="4B59E964" w:rsidR="003B6E99" w:rsidRDefault="003B6E99">
      <w:pPr>
        <w:ind w:left="885" w:right="190" w:hanging="300"/>
        <w:rPr>
          <w:sz w:val="24"/>
          <w:szCs w:val="24"/>
        </w:rPr>
      </w:pPr>
      <w:r>
        <w:rPr>
          <w:sz w:val="24"/>
          <w:szCs w:val="24"/>
        </w:rPr>
        <w:t xml:space="preserve">       Mixture of measurable</w:t>
      </w:r>
      <w:r w:rsidR="00A82D59">
        <w:rPr>
          <w:sz w:val="24"/>
          <w:szCs w:val="24"/>
        </w:rPr>
        <w:t>/quantifiable</w:t>
      </w:r>
      <w:r>
        <w:rPr>
          <w:sz w:val="24"/>
          <w:szCs w:val="24"/>
        </w:rPr>
        <w:t xml:space="preserve"> goals (e.g., progress in education, employment, attaining suffrage, marriage law reform) and less measurable goals (improved levels of confidence and self-esteem)</w:t>
      </w:r>
    </w:p>
    <w:p w14:paraId="00F5DA69" w14:textId="1D1CEB71" w:rsidR="004B56F7" w:rsidRDefault="003B6E99" w:rsidP="0047080F">
      <w:pPr>
        <w:ind w:left="885" w:right="190" w:hanging="300"/>
        <w:rPr>
          <w:sz w:val="24"/>
          <w:szCs w:val="24"/>
        </w:rPr>
      </w:pPr>
      <w:r>
        <w:rPr>
          <w:sz w:val="24"/>
          <w:szCs w:val="24"/>
        </w:rPr>
        <w:t xml:space="preserve">       Resolutions: Promise of continued commitment for the signatories (68 women and 32 men)</w:t>
      </w:r>
    </w:p>
    <w:p w14:paraId="6E675300" w14:textId="77777777" w:rsidR="0026316D" w:rsidRDefault="0026316D" w:rsidP="0047080F">
      <w:pPr>
        <w:ind w:left="885" w:right="190" w:hanging="300"/>
        <w:rPr>
          <w:sz w:val="24"/>
          <w:szCs w:val="24"/>
        </w:rPr>
      </w:pPr>
    </w:p>
    <w:p w14:paraId="0CE827E1" w14:textId="414EA666" w:rsidR="0026316D" w:rsidRPr="0047080F" w:rsidRDefault="0026316D" w:rsidP="0047080F">
      <w:pPr>
        <w:ind w:left="885" w:right="190" w:hanging="300"/>
        <w:rPr>
          <w:sz w:val="24"/>
          <w:szCs w:val="24"/>
        </w:rPr>
      </w:pPr>
      <w:r>
        <w:rPr>
          <w:sz w:val="24"/>
          <w:szCs w:val="24"/>
        </w:rPr>
        <w:t>5.  Distribute/Review: Essay 1 Sequence</w:t>
      </w:r>
    </w:p>
    <w:p w14:paraId="36737C59" w14:textId="77777777" w:rsidR="004B56F7" w:rsidRDefault="004B56F7">
      <w:pPr>
        <w:spacing w:before="13" w:line="260" w:lineRule="exact"/>
        <w:rPr>
          <w:sz w:val="26"/>
          <w:szCs w:val="26"/>
        </w:rPr>
      </w:pPr>
    </w:p>
    <w:p w14:paraId="119D50BC" w14:textId="77777777" w:rsidR="00A46054" w:rsidRDefault="002C1675">
      <w:pPr>
        <w:spacing w:before="2"/>
        <w:ind w:left="1125"/>
        <w:rPr>
          <w:sz w:val="24"/>
          <w:szCs w:val="24"/>
        </w:rPr>
      </w:pPr>
      <w:r>
        <w:rPr>
          <w:sz w:val="24"/>
          <w:szCs w:val="24"/>
        </w:rPr>
        <w:t>********************************************************</w:t>
      </w:r>
    </w:p>
    <w:p w14:paraId="5B2F0606" w14:textId="0D71CBDF" w:rsidR="00A46054" w:rsidRPr="00873707" w:rsidRDefault="00A46054">
      <w:pPr>
        <w:spacing w:before="2"/>
        <w:ind w:left="1125"/>
        <w:rPr>
          <w:i/>
          <w:sz w:val="24"/>
          <w:szCs w:val="24"/>
        </w:rPr>
      </w:pPr>
      <w:r w:rsidRPr="00873707">
        <w:rPr>
          <w:b/>
          <w:sz w:val="24"/>
          <w:szCs w:val="24"/>
          <w:u w:val="single"/>
        </w:rPr>
        <w:t>Social Movement Terminology</w:t>
      </w:r>
      <w:r w:rsidRPr="002C1675">
        <w:rPr>
          <w:sz w:val="24"/>
          <w:szCs w:val="24"/>
          <w:u w:val="single"/>
        </w:rPr>
        <w:t>:</w:t>
      </w:r>
      <w:r>
        <w:rPr>
          <w:b/>
          <w:sz w:val="24"/>
          <w:szCs w:val="24"/>
        </w:rPr>
        <w:t xml:space="preserve"> </w:t>
      </w:r>
    </w:p>
    <w:p w14:paraId="471ED6DD" w14:textId="61A6D026" w:rsidR="00A46054" w:rsidRDefault="00A46054" w:rsidP="003B6E99">
      <w:pPr>
        <w:spacing w:before="2"/>
        <w:ind w:left="1125"/>
        <w:rPr>
          <w:sz w:val="24"/>
          <w:szCs w:val="24"/>
        </w:rPr>
      </w:pPr>
      <w:r w:rsidRPr="00873707">
        <w:rPr>
          <w:i/>
          <w:sz w:val="24"/>
          <w:szCs w:val="24"/>
        </w:rPr>
        <w:t>Resource mobilization</w:t>
      </w:r>
      <w:r w:rsidRPr="00873707">
        <w:rPr>
          <w:i/>
          <w:sz w:val="24"/>
          <w:szCs w:val="24"/>
          <w:u w:val="single"/>
        </w:rPr>
        <w:t>;</w:t>
      </w:r>
      <w:r w:rsidRPr="00873707">
        <w:rPr>
          <w:i/>
          <w:sz w:val="24"/>
          <w:szCs w:val="24"/>
        </w:rPr>
        <w:t xml:space="preserve"> absolute and relative deprivation</w:t>
      </w:r>
    </w:p>
    <w:p w14:paraId="7981033F" w14:textId="1D2EDD61" w:rsidR="0047080F" w:rsidRDefault="0047080F" w:rsidP="003B6E99">
      <w:pPr>
        <w:spacing w:before="2"/>
        <w:ind w:left="1125"/>
        <w:rPr>
          <w:i/>
          <w:sz w:val="24"/>
          <w:szCs w:val="24"/>
        </w:rPr>
      </w:pPr>
      <w:r w:rsidRPr="0047080F">
        <w:rPr>
          <w:i/>
          <w:sz w:val="24"/>
          <w:szCs w:val="24"/>
        </w:rPr>
        <w:t>Gender-conscious social movements; women’s rights/feminist movements</w:t>
      </w:r>
    </w:p>
    <w:p w14:paraId="29EF863D" w14:textId="293D0198" w:rsidR="003631ED" w:rsidRDefault="003631ED" w:rsidP="003B6E99">
      <w:pPr>
        <w:spacing w:before="2"/>
        <w:ind w:left="1125"/>
        <w:rPr>
          <w:i/>
          <w:sz w:val="24"/>
          <w:szCs w:val="24"/>
        </w:rPr>
      </w:pPr>
    </w:p>
    <w:p w14:paraId="2472FDC3" w14:textId="77777777" w:rsidR="003631ED" w:rsidRDefault="003631ED">
      <w:pPr>
        <w:rPr>
          <w:i/>
          <w:sz w:val="24"/>
          <w:szCs w:val="24"/>
        </w:rPr>
      </w:pPr>
      <w:r>
        <w:rPr>
          <w:i/>
          <w:sz w:val="24"/>
          <w:szCs w:val="24"/>
        </w:rPr>
        <w:br w:type="page"/>
      </w:r>
    </w:p>
    <w:p w14:paraId="6A7DD7A3" w14:textId="77777777" w:rsidR="003631ED" w:rsidRPr="0065769D" w:rsidRDefault="003631ED" w:rsidP="003631ED">
      <w:pPr>
        <w:rPr>
          <w:rFonts w:ascii="Arial" w:hAnsi="Arial"/>
        </w:rPr>
      </w:pPr>
      <w:r w:rsidRPr="0065769D">
        <w:rPr>
          <w:rFonts w:ascii="Arial" w:hAnsi="Arial"/>
        </w:rPr>
        <w:lastRenderedPageBreak/>
        <w:t>MIT OpenCourseWare</w:t>
      </w:r>
    </w:p>
    <w:p w14:paraId="78C67216" w14:textId="77777777" w:rsidR="003631ED" w:rsidRPr="0065769D" w:rsidRDefault="003631ED" w:rsidP="003631ED">
      <w:pPr>
        <w:rPr>
          <w:rFonts w:ascii="Arial" w:hAnsi="Arial"/>
        </w:rPr>
      </w:pPr>
      <w:hyperlink r:id="rId5" w:history="1">
        <w:r w:rsidRPr="006F3AD2">
          <w:rPr>
            <w:rStyle w:val="Hyperlink"/>
            <w:rFonts w:ascii="Arial" w:eastAsiaTheme="majorEastAsia" w:hAnsi="Arial"/>
          </w:rPr>
          <w:t>https://ocw.mit.edu/</w:t>
        </w:r>
      </w:hyperlink>
    </w:p>
    <w:p w14:paraId="7013A914" w14:textId="77777777" w:rsidR="003631ED" w:rsidRPr="0065769D" w:rsidRDefault="003631ED" w:rsidP="003631ED">
      <w:pPr>
        <w:rPr>
          <w:rFonts w:ascii="Arial" w:hAnsi="Arial"/>
        </w:rPr>
      </w:pPr>
    </w:p>
    <w:p w14:paraId="3D4A6478" w14:textId="77777777" w:rsidR="003631ED" w:rsidRPr="0065769D" w:rsidRDefault="003631ED" w:rsidP="003631ED">
      <w:pPr>
        <w:rPr>
          <w:rFonts w:ascii="Arial" w:hAnsi="Arial"/>
        </w:rPr>
      </w:pPr>
    </w:p>
    <w:p w14:paraId="69FD2157" w14:textId="77777777" w:rsidR="003631ED" w:rsidRPr="0065769D" w:rsidRDefault="003631ED" w:rsidP="003631ED">
      <w:pPr>
        <w:rPr>
          <w:rFonts w:ascii="Arial" w:hAnsi="Arial"/>
        </w:rPr>
      </w:pPr>
    </w:p>
    <w:p w14:paraId="2EF4E6F7" w14:textId="77777777" w:rsidR="003631ED" w:rsidRPr="0065769D" w:rsidRDefault="003631ED" w:rsidP="003631ED">
      <w:pPr>
        <w:rPr>
          <w:rFonts w:ascii="Arial" w:hAnsi="Arial"/>
        </w:rPr>
      </w:pPr>
      <w:r>
        <w:rPr>
          <w:rFonts w:ascii="Arial" w:hAnsi="Arial"/>
        </w:rPr>
        <w:t>WGS.101 Introduction to Women’s and Gender Studies</w:t>
      </w:r>
    </w:p>
    <w:p w14:paraId="044D5BD7" w14:textId="77777777" w:rsidR="003631ED" w:rsidRPr="0065769D" w:rsidRDefault="003631ED" w:rsidP="003631ED">
      <w:pPr>
        <w:rPr>
          <w:rFonts w:ascii="Arial" w:hAnsi="Arial"/>
        </w:rPr>
      </w:pPr>
      <w:r w:rsidRPr="0065769D">
        <w:rPr>
          <w:rFonts w:ascii="Arial" w:hAnsi="Arial"/>
        </w:rPr>
        <w:t>Spring 20</w:t>
      </w:r>
      <w:r>
        <w:rPr>
          <w:rFonts w:ascii="Arial" w:hAnsi="Arial"/>
        </w:rPr>
        <w:t>23</w:t>
      </w:r>
    </w:p>
    <w:p w14:paraId="26C8ECDF" w14:textId="77777777" w:rsidR="003631ED" w:rsidRPr="0065769D" w:rsidRDefault="003631ED" w:rsidP="003631ED">
      <w:pPr>
        <w:rPr>
          <w:rFonts w:ascii="Arial" w:hAnsi="Arial"/>
        </w:rPr>
      </w:pPr>
    </w:p>
    <w:p w14:paraId="0533EF79" w14:textId="77777777" w:rsidR="003631ED" w:rsidRPr="0065769D" w:rsidRDefault="003631ED" w:rsidP="003631ED">
      <w:pPr>
        <w:rPr>
          <w:rFonts w:ascii="Arial" w:hAnsi="Arial"/>
        </w:rPr>
      </w:pPr>
    </w:p>
    <w:p w14:paraId="34769ADF" w14:textId="77777777" w:rsidR="003631ED" w:rsidRPr="0065769D" w:rsidRDefault="003631ED" w:rsidP="003631ED">
      <w:pPr>
        <w:rPr>
          <w:rFonts w:ascii="Arial" w:hAnsi="Arial"/>
        </w:rPr>
      </w:pPr>
    </w:p>
    <w:p w14:paraId="45203367" w14:textId="77777777" w:rsidR="003631ED" w:rsidRPr="0065769D" w:rsidRDefault="003631ED" w:rsidP="003631ED">
      <w:pPr>
        <w:rPr>
          <w:rFonts w:ascii="Arial" w:hAnsi="Arial"/>
        </w:rPr>
      </w:pPr>
      <w:r w:rsidRPr="0065769D">
        <w:rPr>
          <w:rFonts w:ascii="Arial" w:hAnsi="Arial"/>
        </w:rPr>
        <w:t xml:space="preserve">For information about citing these materials or our Terms of Use, visit: </w:t>
      </w:r>
      <w:hyperlink r:id="rId6" w:history="1">
        <w:r w:rsidRPr="006F3AD2">
          <w:rPr>
            <w:rStyle w:val="Hyperlink"/>
            <w:rFonts w:ascii="Arial" w:eastAsiaTheme="majorEastAsia" w:hAnsi="Arial"/>
          </w:rPr>
          <w:t>https://ocw.mit.edu/terms</w:t>
        </w:r>
      </w:hyperlink>
      <w:r w:rsidRPr="0065769D">
        <w:rPr>
          <w:rFonts w:ascii="Arial" w:hAnsi="Arial"/>
        </w:rPr>
        <w:t xml:space="preserve">. </w:t>
      </w:r>
    </w:p>
    <w:p w14:paraId="7F60E0D0" w14:textId="77777777" w:rsidR="003631ED" w:rsidRPr="003978CD" w:rsidRDefault="003631ED" w:rsidP="003631ED">
      <w:pPr>
        <w:rPr>
          <w:rFonts w:ascii="Arial" w:hAnsi="Arial"/>
          <w:b/>
        </w:rPr>
      </w:pPr>
    </w:p>
    <w:p w14:paraId="731289CA" w14:textId="77777777" w:rsidR="003631ED" w:rsidRPr="003631ED" w:rsidRDefault="003631ED" w:rsidP="003B6E99">
      <w:pPr>
        <w:spacing w:before="2"/>
        <w:ind w:left="1125"/>
        <w:rPr>
          <w:iCs/>
          <w:sz w:val="24"/>
          <w:szCs w:val="24"/>
        </w:rPr>
      </w:pPr>
    </w:p>
    <w:p w14:paraId="0525A6B1" w14:textId="77777777" w:rsidR="00A46054" w:rsidRPr="0047080F" w:rsidRDefault="00A46054" w:rsidP="00A46054">
      <w:pPr>
        <w:spacing w:before="2"/>
        <w:rPr>
          <w:b/>
          <w:i/>
          <w:sz w:val="24"/>
          <w:szCs w:val="24"/>
          <w:u w:val="single"/>
        </w:rPr>
      </w:pPr>
      <w:r w:rsidRPr="0047080F">
        <w:rPr>
          <w:b/>
          <w:i/>
          <w:sz w:val="24"/>
          <w:szCs w:val="24"/>
          <w:u w:val="single"/>
        </w:rPr>
        <w:t xml:space="preserve">       </w:t>
      </w:r>
    </w:p>
    <w:sectPr w:rsidR="00A46054" w:rsidRPr="0047080F">
      <w:type w:val="continuous"/>
      <w:pgSz w:w="12240" w:h="15840"/>
      <w:pgMar w:top="1380" w:right="1720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A64B00"/>
    <w:multiLevelType w:val="hybridMultilevel"/>
    <w:tmpl w:val="DF8A4362"/>
    <w:lvl w:ilvl="0" w:tplc="A9327BFC">
      <w:start w:val="1"/>
      <w:numFmt w:val="decimal"/>
      <w:lvlText w:val="%1."/>
      <w:lvlJc w:val="left"/>
      <w:pPr>
        <w:ind w:left="8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64" w:hanging="360"/>
      </w:pPr>
    </w:lvl>
    <w:lvl w:ilvl="2" w:tplc="0409001B" w:tentative="1">
      <w:start w:val="1"/>
      <w:numFmt w:val="lowerRoman"/>
      <w:lvlText w:val="%3."/>
      <w:lvlJc w:val="right"/>
      <w:pPr>
        <w:ind w:left="2284" w:hanging="180"/>
      </w:pPr>
    </w:lvl>
    <w:lvl w:ilvl="3" w:tplc="0409000F" w:tentative="1">
      <w:start w:val="1"/>
      <w:numFmt w:val="decimal"/>
      <w:lvlText w:val="%4."/>
      <w:lvlJc w:val="left"/>
      <w:pPr>
        <w:ind w:left="3004" w:hanging="360"/>
      </w:pPr>
    </w:lvl>
    <w:lvl w:ilvl="4" w:tplc="04090019" w:tentative="1">
      <w:start w:val="1"/>
      <w:numFmt w:val="lowerLetter"/>
      <w:lvlText w:val="%5."/>
      <w:lvlJc w:val="left"/>
      <w:pPr>
        <w:ind w:left="3724" w:hanging="360"/>
      </w:pPr>
    </w:lvl>
    <w:lvl w:ilvl="5" w:tplc="0409001B" w:tentative="1">
      <w:start w:val="1"/>
      <w:numFmt w:val="lowerRoman"/>
      <w:lvlText w:val="%6."/>
      <w:lvlJc w:val="right"/>
      <w:pPr>
        <w:ind w:left="4444" w:hanging="180"/>
      </w:pPr>
    </w:lvl>
    <w:lvl w:ilvl="6" w:tplc="0409000F" w:tentative="1">
      <w:start w:val="1"/>
      <w:numFmt w:val="decimal"/>
      <w:lvlText w:val="%7."/>
      <w:lvlJc w:val="left"/>
      <w:pPr>
        <w:ind w:left="5164" w:hanging="360"/>
      </w:pPr>
    </w:lvl>
    <w:lvl w:ilvl="7" w:tplc="04090019" w:tentative="1">
      <w:start w:val="1"/>
      <w:numFmt w:val="lowerLetter"/>
      <w:lvlText w:val="%8."/>
      <w:lvlJc w:val="left"/>
      <w:pPr>
        <w:ind w:left="5884" w:hanging="360"/>
      </w:pPr>
    </w:lvl>
    <w:lvl w:ilvl="8" w:tplc="0409001B" w:tentative="1">
      <w:start w:val="1"/>
      <w:numFmt w:val="lowerRoman"/>
      <w:lvlText w:val="%9."/>
      <w:lvlJc w:val="right"/>
      <w:pPr>
        <w:ind w:left="6604" w:hanging="180"/>
      </w:pPr>
    </w:lvl>
  </w:abstractNum>
  <w:abstractNum w:abstractNumId="1" w15:restartNumberingAfterBreak="0">
    <w:nsid w:val="4AF02EDA"/>
    <w:multiLevelType w:val="multilevel"/>
    <w:tmpl w:val="2F844F9A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56F7"/>
    <w:rsid w:val="00232773"/>
    <w:rsid w:val="0026316D"/>
    <w:rsid w:val="002C1675"/>
    <w:rsid w:val="00356E3D"/>
    <w:rsid w:val="003631ED"/>
    <w:rsid w:val="003B4D93"/>
    <w:rsid w:val="003B6E99"/>
    <w:rsid w:val="003D790A"/>
    <w:rsid w:val="004224F4"/>
    <w:rsid w:val="0047080F"/>
    <w:rsid w:val="004B56F7"/>
    <w:rsid w:val="004C1263"/>
    <w:rsid w:val="0055426E"/>
    <w:rsid w:val="005D65EE"/>
    <w:rsid w:val="00617A4D"/>
    <w:rsid w:val="006D6F87"/>
    <w:rsid w:val="007066F4"/>
    <w:rsid w:val="00754256"/>
    <w:rsid w:val="00856808"/>
    <w:rsid w:val="00873707"/>
    <w:rsid w:val="009E61F9"/>
    <w:rsid w:val="00A46054"/>
    <w:rsid w:val="00A82D59"/>
    <w:rsid w:val="00B773AD"/>
    <w:rsid w:val="00C93202"/>
    <w:rsid w:val="00DC33BC"/>
    <w:rsid w:val="00FA5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D1CF685"/>
  <w15:docId w15:val="{FA4A1D22-3288-485E-8178-8E7C55CDE1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ListParagraph">
    <w:name w:val="List Paragraph"/>
    <w:basedOn w:val="Normal"/>
    <w:uiPriority w:val="34"/>
    <w:qFormat/>
    <w:rsid w:val="00A46054"/>
    <w:pPr>
      <w:ind w:left="720"/>
      <w:contextualSpacing/>
    </w:pPr>
  </w:style>
  <w:style w:type="character" w:styleId="Hyperlink">
    <w:name w:val="Hyperlink"/>
    <w:rsid w:val="003631E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ocw.mit.edu/terms" TargetMode="External"/><Relationship Id="rId5" Type="http://schemas.openxmlformats.org/officeDocument/2006/relationships/hyperlink" Target="https://ocw.mit.ed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314</Words>
  <Characters>1853</Characters>
  <Application>Microsoft Office Word</Application>
  <DocSecurity>0</DocSecurity>
  <Lines>115</Lines>
  <Paragraphs>28</Paragraphs>
  <ScaleCrop>false</ScaleCrop>
  <Company/>
  <LinksUpToDate>false</LinksUpToDate>
  <CharactersWithSpaces>2139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Cheryl Siegel</dc:creator>
  <cp:lastModifiedBy>Cheryl Siegel</cp:lastModifiedBy>
  <cp:revision>3</cp:revision>
  <cp:lastPrinted>2022-02-02T16:37:00Z</cp:lastPrinted>
  <dcterms:created xsi:type="dcterms:W3CDTF">2023-10-16T15:43:00Z</dcterms:created>
  <dcterms:modified xsi:type="dcterms:W3CDTF">2023-10-16T15:44:00Z</dcterms:modified>
</cp:coreProperties>
</file>